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D6BBD">
      <w:pPr>
        <w:widowControl/>
        <w:spacing w:line="480" w:lineRule="exact"/>
        <w:jc w:val="left"/>
        <w:rPr>
          <w:rFonts w:ascii="仿宋_GB2312" w:hAnsi="宋体" w:eastAsia="仿宋_GB2312" w:cs="宋体"/>
          <w:kern w:val="0"/>
          <w:sz w:val="28"/>
          <w:szCs w:val="28"/>
        </w:rPr>
      </w:pPr>
    </w:p>
    <w:tbl>
      <w:tblPr>
        <w:tblStyle w:val="6"/>
        <w:tblW w:w="4847" w:type="pct"/>
        <w:jc w:val="center"/>
        <w:tblLayout w:type="fixed"/>
        <w:tblCellMar>
          <w:top w:w="0" w:type="dxa"/>
          <w:left w:w="0" w:type="dxa"/>
          <w:bottom w:w="0" w:type="dxa"/>
          <w:right w:w="0" w:type="dxa"/>
        </w:tblCellMar>
      </w:tblPr>
      <w:tblGrid>
        <w:gridCol w:w="448"/>
        <w:gridCol w:w="1122"/>
        <w:gridCol w:w="4340"/>
        <w:gridCol w:w="4325"/>
        <w:gridCol w:w="1669"/>
        <w:gridCol w:w="2091"/>
        <w:gridCol w:w="960"/>
      </w:tblGrid>
      <w:tr w14:paraId="37AF03BD">
        <w:tblPrEx>
          <w:tblCellMar>
            <w:top w:w="0" w:type="dxa"/>
            <w:left w:w="0" w:type="dxa"/>
            <w:bottom w:w="0" w:type="dxa"/>
            <w:right w:w="0" w:type="dxa"/>
          </w:tblCellMar>
        </w:tblPrEx>
        <w:trPr>
          <w:trHeight w:val="915" w:hRule="atLeast"/>
          <w:jc w:val="center"/>
        </w:trPr>
        <w:tc>
          <w:tcPr>
            <w:tcW w:w="5000" w:type="pct"/>
            <w:gridSpan w:val="7"/>
            <w:tcBorders>
              <w:top w:val="nil"/>
              <w:left w:val="nil"/>
              <w:bottom w:val="single" w:color="auto" w:sz="4" w:space="0"/>
              <w:right w:val="nil"/>
            </w:tcBorders>
            <w:shd w:val="clear" w:color="auto" w:fill="auto"/>
            <w:tcMar>
              <w:top w:w="15" w:type="dxa"/>
              <w:left w:w="15" w:type="dxa"/>
              <w:bottom w:w="0" w:type="dxa"/>
              <w:right w:w="15" w:type="dxa"/>
            </w:tcMar>
            <w:vAlign w:val="center"/>
          </w:tcPr>
          <w:p w14:paraId="65AB25CC">
            <w:pPr>
              <w:widowControl/>
              <w:jc w:val="left"/>
              <w:rPr>
                <w:sz w:val="36"/>
                <w:szCs w:val="36"/>
              </w:rPr>
            </w:pPr>
            <w:r>
              <w:rPr>
                <w:rFonts w:hint="eastAsia"/>
                <w:color w:val="000000"/>
                <w:sz w:val="22"/>
                <w:szCs w:val="22"/>
              </w:rPr>
              <w:t xml:space="preserve">                       </w:t>
            </w:r>
            <w:r>
              <w:rPr>
                <w:rFonts w:hint="eastAsia" w:ascii="方正小标宋简体" w:eastAsia="方正小标宋简体"/>
                <w:color w:val="000000"/>
                <w:sz w:val="36"/>
                <w:szCs w:val="36"/>
              </w:rPr>
              <w:t xml:space="preserve">       </w:t>
            </w:r>
            <w:r>
              <w:rPr>
                <w:rFonts w:hint="eastAsia" w:ascii="方正小标宋简体" w:eastAsia="方正小标宋简体"/>
                <w:color w:val="000000"/>
                <w:sz w:val="36"/>
                <w:szCs w:val="36"/>
                <w:lang w:eastAsia="zh-CN"/>
              </w:rPr>
              <w:t>唐山工业职业技术大学</w:t>
            </w:r>
            <w:r>
              <w:rPr>
                <w:rFonts w:hint="eastAsia" w:ascii="方正小标宋简体" w:eastAsia="方正小标宋简体"/>
                <w:color w:val="000000"/>
                <w:sz w:val="36"/>
                <w:szCs w:val="36"/>
              </w:rPr>
              <w:t>信息公开事项清单</w:t>
            </w:r>
            <w:r>
              <w:rPr>
                <w:rFonts w:hint="eastAsia" w:ascii="方正小标宋简体" w:eastAsia="方正小标宋简体"/>
                <w:sz w:val="36"/>
                <w:szCs w:val="36"/>
              </w:rPr>
              <w:t xml:space="preserve"> </w:t>
            </w:r>
            <w:r>
              <w:rPr>
                <w:sz w:val="36"/>
                <w:szCs w:val="36"/>
              </w:rPr>
              <w:t xml:space="preserve"> </w:t>
            </w:r>
          </w:p>
          <w:p w14:paraId="71D5F1ED">
            <w:pPr>
              <w:widowControl/>
              <w:jc w:val="left"/>
              <w:rPr>
                <w:color w:val="000000"/>
                <w:kern w:val="0"/>
                <w:sz w:val="22"/>
                <w:szCs w:val="22"/>
              </w:rPr>
            </w:pPr>
            <w:r>
              <w:rPr>
                <w:sz w:val="20"/>
                <w:szCs w:val="20"/>
              </w:rPr>
              <w:t xml:space="preserve">                                                                                                                                 </w:t>
            </w:r>
            <w:r>
              <w:rPr>
                <w:rFonts w:hint="eastAsia" w:ascii="楷体_GB2312" w:eastAsia="楷体_GB2312"/>
                <w:b/>
                <w:bCs/>
              </w:rPr>
              <w:t xml:space="preserve">（共10大类50条） </w:t>
            </w:r>
            <w:r>
              <w:rPr>
                <w:rFonts w:hint="eastAsia" w:ascii="楷体_GB2312" w:eastAsia="楷体_GB2312"/>
              </w:rPr>
              <w:t xml:space="preserve">   </w:t>
            </w:r>
            <w:r>
              <w:rPr>
                <w:sz w:val="20"/>
                <w:szCs w:val="20"/>
              </w:rPr>
              <w:t xml:space="preserve">                          </w:t>
            </w:r>
          </w:p>
        </w:tc>
      </w:tr>
      <w:tr w14:paraId="5CF37E4A">
        <w:tblPrEx>
          <w:tblCellMar>
            <w:top w:w="0" w:type="dxa"/>
            <w:left w:w="0" w:type="dxa"/>
            <w:bottom w:w="0" w:type="dxa"/>
            <w:right w:w="0" w:type="dxa"/>
          </w:tblCellMar>
        </w:tblPrEx>
        <w:trPr>
          <w:trHeight w:val="600" w:hRule="atLeast"/>
          <w:jc w:val="center"/>
        </w:trPr>
        <w:tc>
          <w:tcPr>
            <w:tcW w:w="150" w:type="pct"/>
            <w:tcBorders>
              <w:top w:val="nil"/>
              <w:left w:val="single" w:color="auto" w:sz="4" w:space="0"/>
              <w:bottom w:val="nil"/>
              <w:right w:val="single" w:color="auto" w:sz="4" w:space="0"/>
            </w:tcBorders>
            <w:shd w:val="clear" w:color="auto" w:fill="auto"/>
            <w:tcMar>
              <w:top w:w="15" w:type="dxa"/>
              <w:left w:w="15" w:type="dxa"/>
              <w:bottom w:w="0" w:type="dxa"/>
              <w:right w:w="15" w:type="dxa"/>
            </w:tcMar>
            <w:vAlign w:val="center"/>
          </w:tcPr>
          <w:p w14:paraId="502F4034">
            <w:pPr>
              <w:jc w:val="center"/>
              <w:rPr>
                <w:rFonts w:ascii="仿宋_GB2312" w:eastAsia="仿宋_GB2312"/>
                <w:b/>
                <w:bCs/>
                <w:sz w:val="24"/>
              </w:rPr>
            </w:pPr>
            <w:r>
              <w:rPr>
                <w:rFonts w:hint="eastAsia" w:ascii="仿宋_GB2312" w:eastAsia="仿宋_GB2312"/>
                <w:b/>
                <w:bCs/>
              </w:rPr>
              <w:t>序号</w:t>
            </w:r>
          </w:p>
        </w:tc>
        <w:tc>
          <w:tcPr>
            <w:tcW w:w="375" w:type="pct"/>
            <w:tcBorders>
              <w:top w:val="nil"/>
              <w:left w:val="nil"/>
              <w:bottom w:val="nil"/>
              <w:right w:val="single" w:color="auto" w:sz="4" w:space="0"/>
            </w:tcBorders>
            <w:shd w:val="clear" w:color="auto" w:fill="auto"/>
            <w:tcMar>
              <w:top w:w="15" w:type="dxa"/>
              <w:left w:w="15" w:type="dxa"/>
              <w:bottom w:w="0" w:type="dxa"/>
              <w:right w:w="15" w:type="dxa"/>
            </w:tcMar>
            <w:vAlign w:val="center"/>
          </w:tcPr>
          <w:p w14:paraId="3FBEDCDD">
            <w:pPr>
              <w:jc w:val="center"/>
              <w:rPr>
                <w:rFonts w:ascii="仿宋_GB2312" w:eastAsia="仿宋_GB2312"/>
                <w:b/>
                <w:bCs/>
              </w:rPr>
            </w:pPr>
            <w:r>
              <w:rPr>
                <w:rFonts w:hint="eastAsia" w:ascii="仿宋_GB2312" w:eastAsia="仿宋_GB2312"/>
                <w:b/>
                <w:bCs/>
              </w:rPr>
              <w:t>类</w:t>
            </w:r>
            <w:r>
              <w:rPr>
                <w:rFonts w:eastAsia="仿宋_GB2312"/>
                <w:b/>
                <w:bCs/>
              </w:rPr>
              <w:t xml:space="preserve">  </w:t>
            </w:r>
            <w:r>
              <w:rPr>
                <w:rFonts w:hint="eastAsia" w:ascii="仿宋_GB2312" w:eastAsia="仿宋_GB2312"/>
                <w:b/>
                <w:bCs/>
              </w:rPr>
              <w:t>别</w:t>
            </w:r>
          </w:p>
        </w:tc>
        <w:tc>
          <w:tcPr>
            <w:tcW w:w="1451" w:type="pct"/>
            <w:tcBorders>
              <w:top w:val="nil"/>
              <w:left w:val="nil"/>
              <w:bottom w:val="nil"/>
              <w:right w:val="single" w:color="auto" w:sz="4" w:space="0"/>
            </w:tcBorders>
            <w:shd w:val="clear" w:color="auto" w:fill="auto"/>
            <w:tcMar>
              <w:top w:w="15" w:type="dxa"/>
              <w:left w:w="15" w:type="dxa"/>
              <w:bottom w:w="0" w:type="dxa"/>
              <w:right w:w="15" w:type="dxa"/>
            </w:tcMar>
            <w:vAlign w:val="center"/>
          </w:tcPr>
          <w:p w14:paraId="182BD930">
            <w:pPr>
              <w:jc w:val="center"/>
              <w:rPr>
                <w:rFonts w:ascii="仿宋_GB2312" w:eastAsia="仿宋_GB2312"/>
                <w:b/>
                <w:bCs/>
              </w:rPr>
            </w:pPr>
            <w:r>
              <w:rPr>
                <w:rFonts w:hint="eastAsia" w:ascii="仿宋_GB2312" w:eastAsia="仿宋_GB2312"/>
                <w:b/>
                <w:bCs/>
              </w:rPr>
              <w:t>公开事项</w:t>
            </w:r>
          </w:p>
        </w:tc>
        <w:tc>
          <w:tcPr>
            <w:tcW w:w="1446" w:type="pct"/>
            <w:tcBorders>
              <w:top w:val="nil"/>
              <w:left w:val="nil"/>
              <w:bottom w:val="nil"/>
              <w:right w:val="single" w:color="auto" w:sz="4" w:space="0"/>
            </w:tcBorders>
            <w:shd w:val="clear" w:color="auto" w:fill="auto"/>
            <w:tcMar>
              <w:top w:w="15" w:type="dxa"/>
              <w:left w:w="15" w:type="dxa"/>
              <w:bottom w:w="0" w:type="dxa"/>
              <w:right w:w="15" w:type="dxa"/>
            </w:tcMar>
            <w:vAlign w:val="center"/>
          </w:tcPr>
          <w:p w14:paraId="6537C42D">
            <w:pPr>
              <w:jc w:val="center"/>
              <w:rPr>
                <w:rFonts w:ascii="仿宋_GB2312" w:eastAsia="仿宋_GB2312"/>
                <w:b/>
                <w:bCs/>
              </w:rPr>
            </w:pPr>
            <w:r>
              <w:rPr>
                <w:rFonts w:hint="eastAsia" w:ascii="仿宋_GB2312" w:eastAsia="仿宋_GB2312"/>
                <w:b/>
                <w:bCs/>
              </w:rPr>
              <w:t>有关文件</w:t>
            </w:r>
          </w:p>
        </w:tc>
        <w:tc>
          <w:tcPr>
            <w:tcW w:w="558" w:type="pct"/>
            <w:tcBorders>
              <w:top w:val="nil"/>
              <w:left w:val="nil"/>
              <w:bottom w:val="nil"/>
              <w:right w:val="single" w:color="auto" w:sz="4" w:space="0"/>
            </w:tcBorders>
            <w:shd w:val="clear" w:color="auto" w:fill="auto"/>
            <w:tcMar>
              <w:top w:w="15" w:type="dxa"/>
              <w:left w:w="15" w:type="dxa"/>
              <w:bottom w:w="0" w:type="dxa"/>
              <w:right w:w="15" w:type="dxa"/>
            </w:tcMar>
            <w:vAlign w:val="center"/>
          </w:tcPr>
          <w:p w14:paraId="276DE5F7">
            <w:pPr>
              <w:jc w:val="center"/>
              <w:rPr>
                <w:rFonts w:ascii="仿宋_GB2312" w:eastAsia="仿宋_GB2312"/>
                <w:b/>
                <w:bCs/>
              </w:rPr>
            </w:pPr>
            <w:r>
              <w:rPr>
                <w:rFonts w:hint="eastAsia" w:ascii="仿宋_GB2312" w:eastAsia="仿宋_GB2312"/>
                <w:b/>
                <w:bCs/>
              </w:rPr>
              <w:t>负责部门</w:t>
            </w: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E1BF29F">
            <w:pPr>
              <w:jc w:val="center"/>
              <w:rPr>
                <w:rFonts w:ascii="宋体"/>
                <w:b/>
                <w:bCs/>
              </w:rPr>
            </w:pPr>
            <w:r>
              <w:rPr>
                <w:rFonts w:hint="eastAsia"/>
                <w:b/>
                <w:bCs/>
              </w:rPr>
              <w:t>公开形式</w:t>
            </w:r>
          </w:p>
        </w:tc>
        <w:tc>
          <w:tcPr>
            <w:tcW w:w="321" w:type="pct"/>
            <w:tcBorders>
              <w:top w:val="nil"/>
              <w:left w:val="nil"/>
              <w:bottom w:val="nil"/>
              <w:right w:val="single" w:color="auto" w:sz="4" w:space="0"/>
            </w:tcBorders>
            <w:shd w:val="clear" w:color="auto" w:fill="auto"/>
            <w:tcMar>
              <w:top w:w="15" w:type="dxa"/>
              <w:left w:w="15" w:type="dxa"/>
              <w:bottom w:w="0" w:type="dxa"/>
              <w:right w:w="15" w:type="dxa"/>
            </w:tcMar>
            <w:vAlign w:val="center"/>
          </w:tcPr>
          <w:p w14:paraId="513798F3">
            <w:pPr>
              <w:jc w:val="center"/>
              <w:rPr>
                <w:rFonts w:ascii="仿宋_GB2312" w:eastAsia="仿宋_GB2312"/>
                <w:b/>
                <w:bCs/>
              </w:rPr>
            </w:pPr>
            <w:r>
              <w:rPr>
                <w:rFonts w:hint="eastAsia" w:ascii="仿宋_GB2312" w:eastAsia="仿宋_GB2312"/>
                <w:b/>
                <w:bCs/>
              </w:rPr>
              <w:t>截止日期</w:t>
            </w:r>
          </w:p>
        </w:tc>
      </w:tr>
      <w:tr w14:paraId="0F1593E4">
        <w:tblPrEx>
          <w:tblCellMar>
            <w:top w:w="0" w:type="dxa"/>
            <w:left w:w="0" w:type="dxa"/>
            <w:bottom w:w="0" w:type="dxa"/>
            <w:right w:w="0" w:type="dxa"/>
          </w:tblCellMar>
        </w:tblPrEx>
        <w:trPr>
          <w:trHeight w:val="799" w:hRule="atLeast"/>
          <w:jc w:val="center"/>
        </w:trPr>
        <w:tc>
          <w:tcPr>
            <w:tcW w:w="150" w:type="pct"/>
            <w:vMerge w:val="restart"/>
            <w:tcBorders>
              <w:top w:val="single" w:color="auto" w:sz="4" w:space="0"/>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0440B8D3">
            <w:pPr>
              <w:jc w:val="center"/>
              <w:rPr>
                <w:sz w:val="20"/>
                <w:szCs w:val="20"/>
              </w:rPr>
            </w:pPr>
            <w:r>
              <w:rPr>
                <w:sz w:val="20"/>
                <w:szCs w:val="20"/>
              </w:rPr>
              <w:t>1</w:t>
            </w:r>
          </w:p>
        </w:tc>
        <w:tc>
          <w:tcPr>
            <w:tcW w:w="375" w:type="pct"/>
            <w:vMerge w:val="restart"/>
            <w:tcBorders>
              <w:top w:val="single" w:color="auto" w:sz="4" w:space="0"/>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41FF2542">
            <w:pPr>
              <w:jc w:val="center"/>
              <w:rPr>
                <w:rFonts w:ascii="仿宋_GB2312" w:eastAsia="仿宋_GB2312"/>
                <w:sz w:val="20"/>
                <w:szCs w:val="20"/>
              </w:rPr>
            </w:pPr>
            <w:r>
              <w:rPr>
                <w:rFonts w:hint="eastAsia" w:ascii="仿宋_GB2312" w:eastAsia="仿宋_GB2312"/>
                <w:sz w:val="20"/>
                <w:szCs w:val="20"/>
              </w:rPr>
              <w:t>基本信息</w:t>
            </w:r>
          </w:p>
          <w:p w14:paraId="74452E10">
            <w:pPr>
              <w:jc w:val="center"/>
              <w:rPr>
                <w:rFonts w:ascii="仿宋_GB2312" w:eastAsia="仿宋_GB2312"/>
                <w:sz w:val="20"/>
                <w:szCs w:val="20"/>
              </w:rPr>
            </w:pPr>
          </w:p>
          <w:p w14:paraId="1D051AE5">
            <w:pPr>
              <w:jc w:val="center"/>
              <w:rPr>
                <w:sz w:val="20"/>
                <w:szCs w:val="20"/>
              </w:rPr>
            </w:pPr>
            <w:r>
              <w:rPr>
                <w:rFonts w:hint="eastAsia" w:ascii="仿宋_GB2312" w:eastAsia="仿宋_GB2312"/>
                <w:sz w:val="20"/>
                <w:szCs w:val="20"/>
              </w:rPr>
              <w:t>（</w:t>
            </w:r>
            <w:r>
              <w:rPr>
                <w:sz w:val="20"/>
                <w:szCs w:val="20"/>
              </w:rPr>
              <w:t>6</w:t>
            </w:r>
            <w:r>
              <w:rPr>
                <w:rFonts w:hint="eastAsia" w:ascii="仿宋_GB2312" w:eastAsia="仿宋_GB2312"/>
                <w:sz w:val="20"/>
                <w:szCs w:val="20"/>
              </w:rPr>
              <w:t>项）</w:t>
            </w:r>
          </w:p>
        </w:tc>
        <w:tc>
          <w:tcPr>
            <w:tcW w:w="1451" w:type="pct"/>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7E57910">
            <w:pPr>
              <w:jc w:val="left"/>
              <w:rPr>
                <w:sz w:val="20"/>
                <w:szCs w:val="20"/>
              </w:rPr>
            </w:pPr>
            <w:r>
              <w:rPr>
                <w:rFonts w:hint="eastAsia" w:ascii="仿宋_GB2312" w:eastAsia="仿宋_GB2312"/>
                <w:sz w:val="20"/>
                <w:szCs w:val="20"/>
              </w:rPr>
              <w:t>（</w:t>
            </w:r>
            <w:r>
              <w:rPr>
                <w:sz w:val="20"/>
                <w:szCs w:val="20"/>
              </w:rPr>
              <w:t>1</w:t>
            </w:r>
            <w:r>
              <w:rPr>
                <w:rFonts w:hint="eastAsia" w:ascii="仿宋_GB2312" w:eastAsia="仿宋_GB2312"/>
                <w:sz w:val="20"/>
                <w:szCs w:val="20"/>
              </w:rPr>
              <w:t>）办学规模、校级领导班子简介及分工、学校机构设置、学科情况、专业情况、各类在校生情况、教师和专业技术人员数量等办学基本情况</w:t>
            </w:r>
          </w:p>
        </w:tc>
        <w:tc>
          <w:tcPr>
            <w:tcW w:w="1446"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69624BA7">
            <w:pPr>
              <w:rPr>
                <w:rFonts w:ascii="仿宋_GB2312" w:eastAsia="仿宋_GB2312"/>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p>
          <w:p w14:paraId="7AFD34A2">
            <w:pPr>
              <w:rPr>
                <w:sz w:val="20"/>
                <w:szCs w:val="20"/>
              </w:rPr>
            </w:pPr>
            <w:r>
              <w:rPr>
                <w:rFonts w:hint="eastAsia" w:ascii="仿宋_GB2312" w:eastAsia="仿宋_GB2312"/>
                <w:sz w:val="20"/>
                <w:szCs w:val="20"/>
              </w:rPr>
              <w:t>《高等学校章程制定暂行办法》（教育部令第</w:t>
            </w:r>
            <w:r>
              <w:rPr>
                <w:sz w:val="20"/>
                <w:szCs w:val="20"/>
              </w:rPr>
              <w:t>31</w:t>
            </w:r>
            <w:r>
              <w:rPr>
                <w:rFonts w:hint="eastAsia" w:ascii="仿宋_GB2312" w:eastAsia="仿宋_GB2312"/>
                <w:sz w:val="20"/>
                <w:szCs w:val="20"/>
              </w:rPr>
              <w:t>号）</w:t>
            </w:r>
          </w:p>
        </w:tc>
        <w:tc>
          <w:tcPr>
            <w:tcW w:w="558" w:type="pct"/>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ED92B6D">
            <w:pPr>
              <w:jc w:val="center"/>
              <w:rPr>
                <w:rFonts w:ascii="宋体" w:hAnsi="宋体" w:cs="宋体"/>
                <w:sz w:val="20"/>
                <w:szCs w:val="20"/>
              </w:rPr>
            </w:pPr>
            <w:r>
              <w:rPr>
                <w:rFonts w:hint="eastAsia"/>
                <w:sz w:val="20"/>
                <w:szCs w:val="20"/>
              </w:rPr>
              <w:t>党政办公室</w:t>
            </w:r>
          </w:p>
        </w:tc>
        <w:tc>
          <w:tcPr>
            <w:tcW w:w="699" w:type="pc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4C63E91C">
            <w:pPr>
              <w:rPr>
                <w:sz w:val="20"/>
                <w:szCs w:val="20"/>
              </w:rPr>
            </w:pPr>
            <w:r>
              <w:rPr>
                <w:rFonts w:hint="eastAsia"/>
                <w:sz w:val="20"/>
                <w:szCs w:val="20"/>
                <w:lang w:eastAsia="zh-CN"/>
              </w:rPr>
              <w:t>唐山工业职业技术大学</w:t>
            </w:r>
            <w:r>
              <w:rPr>
                <w:rFonts w:hint="eastAsia"/>
                <w:sz w:val="20"/>
                <w:szCs w:val="20"/>
              </w:rPr>
              <w:t>官方</w:t>
            </w:r>
            <w:r>
              <w:rPr>
                <w:sz w:val="20"/>
                <w:szCs w:val="20"/>
              </w:rPr>
              <w:t>网站http://www.tsgzy.edu.cn/</w:t>
            </w:r>
          </w:p>
        </w:tc>
        <w:tc>
          <w:tcPr>
            <w:tcW w:w="321" w:type="pct"/>
            <w:vMerge w:val="restart"/>
            <w:tcBorders>
              <w:top w:val="single" w:color="auto" w:sz="4" w:space="0"/>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2FF2C252">
            <w:pPr>
              <w:jc w:val="center"/>
              <w:rPr>
                <w:sz w:val="24"/>
              </w:rPr>
            </w:pPr>
            <w:r>
              <w:rPr>
                <w:rFonts w:hint="eastAsia"/>
              </w:rPr>
              <w:t>202</w:t>
            </w:r>
            <w:r>
              <w:rPr>
                <w:rFonts w:hint="eastAsia"/>
                <w:lang w:val="en-US" w:eastAsia="zh-CN"/>
              </w:rPr>
              <w:t>5</w:t>
            </w:r>
            <w:r>
              <w:t>.8.31</w:t>
            </w:r>
          </w:p>
        </w:tc>
      </w:tr>
      <w:tr w14:paraId="71977860">
        <w:tblPrEx>
          <w:tblCellMar>
            <w:top w:w="0" w:type="dxa"/>
            <w:left w:w="0" w:type="dxa"/>
            <w:bottom w:w="0" w:type="dxa"/>
            <w:right w:w="0" w:type="dxa"/>
          </w:tblCellMar>
        </w:tblPrEx>
        <w:trPr>
          <w:trHeight w:val="559" w:hRule="atLeast"/>
          <w:jc w:val="center"/>
        </w:trPr>
        <w:tc>
          <w:tcPr>
            <w:tcW w:w="150" w:type="pct"/>
            <w:vMerge w:val="continue"/>
            <w:tcBorders>
              <w:top w:val="single" w:color="auto" w:sz="4" w:space="0"/>
              <w:left w:val="single" w:color="auto" w:sz="4" w:space="0"/>
              <w:bottom w:val="single" w:color="000000" w:sz="4" w:space="0"/>
              <w:right w:val="single" w:color="auto" w:sz="4" w:space="0"/>
            </w:tcBorders>
            <w:vAlign w:val="center"/>
          </w:tcPr>
          <w:p w14:paraId="49D74BF9">
            <w:pPr>
              <w:rPr>
                <w:sz w:val="20"/>
                <w:szCs w:val="20"/>
              </w:rPr>
            </w:pPr>
          </w:p>
        </w:tc>
        <w:tc>
          <w:tcPr>
            <w:tcW w:w="375" w:type="pct"/>
            <w:vMerge w:val="continue"/>
            <w:tcBorders>
              <w:top w:val="single" w:color="auto" w:sz="4" w:space="0"/>
              <w:left w:val="single" w:color="auto" w:sz="4" w:space="0"/>
              <w:bottom w:val="single" w:color="000000" w:sz="4" w:space="0"/>
              <w:right w:val="single" w:color="auto" w:sz="4" w:space="0"/>
            </w:tcBorders>
            <w:vAlign w:val="center"/>
          </w:tcPr>
          <w:p w14:paraId="638A677F">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FB15D62">
            <w:pPr>
              <w:jc w:val="left"/>
              <w:rPr>
                <w:sz w:val="20"/>
                <w:szCs w:val="20"/>
              </w:rPr>
            </w:pPr>
            <w:r>
              <w:rPr>
                <w:rFonts w:hint="eastAsia" w:ascii="仿宋_GB2312" w:eastAsia="仿宋_GB2312"/>
                <w:sz w:val="20"/>
                <w:szCs w:val="20"/>
              </w:rPr>
              <w:t>（</w:t>
            </w:r>
            <w:r>
              <w:rPr>
                <w:sz w:val="20"/>
                <w:szCs w:val="20"/>
              </w:rPr>
              <w:t>2</w:t>
            </w:r>
            <w:r>
              <w:rPr>
                <w:rFonts w:hint="eastAsia" w:ascii="仿宋_GB2312" w:eastAsia="仿宋_GB2312"/>
                <w:sz w:val="20"/>
                <w:szCs w:val="20"/>
              </w:rPr>
              <w:t>）学校章程及制定的各项规章制度</w:t>
            </w:r>
          </w:p>
        </w:tc>
        <w:tc>
          <w:tcPr>
            <w:tcW w:w="1446" w:type="pct"/>
            <w:vMerge w:val="continue"/>
            <w:tcBorders>
              <w:top w:val="single" w:color="auto" w:sz="4" w:space="0"/>
              <w:left w:val="single" w:color="auto" w:sz="4" w:space="0"/>
              <w:bottom w:val="single" w:color="auto" w:sz="4" w:space="0"/>
              <w:right w:val="single" w:color="auto" w:sz="4" w:space="0"/>
            </w:tcBorders>
            <w:vAlign w:val="center"/>
          </w:tcPr>
          <w:p w14:paraId="6258682B">
            <w:pPr>
              <w:rPr>
                <w:sz w:val="20"/>
                <w:szCs w:val="20"/>
              </w:rPr>
            </w:pP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4A12537">
            <w:pPr>
              <w:jc w:val="center"/>
              <w:rPr>
                <w:rFonts w:ascii="宋体" w:hAnsi="宋体" w:cs="宋体"/>
                <w:sz w:val="20"/>
                <w:szCs w:val="20"/>
              </w:rPr>
            </w:pPr>
            <w:r>
              <w:rPr>
                <w:rFonts w:hint="eastAsia"/>
                <w:sz w:val="20"/>
                <w:szCs w:val="20"/>
              </w:rPr>
              <w:t>党政办公室</w:t>
            </w:r>
          </w:p>
        </w:tc>
        <w:tc>
          <w:tcPr>
            <w:tcW w:w="699" w:type="pct"/>
            <w:tcBorders>
              <w:top w:val="nil"/>
              <w:left w:val="single" w:color="auto" w:sz="4" w:space="0"/>
              <w:bottom w:val="single" w:color="000000" w:sz="4" w:space="0"/>
              <w:right w:val="single" w:color="auto" w:sz="4" w:space="0"/>
            </w:tcBorders>
            <w:shd w:val="clear" w:color="auto" w:fill="auto"/>
            <w:vAlign w:val="center"/>
          </w:tcPr>
          <w:p w14:paraId="651DA8E3">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3DE4FAAF">
            <w:pPr>
              <w:jc w:val="center"/>
              <w:rPr>
                <w:rFonts w:ascii="宋体" w:hAnsi="宋体" w:cs="宋体"/>
                <w:sz w:val="20"/>
                <w:szCs w:val="20"/>
              </w:rPr>
            </w:pPr>
            <w:r>
              <w:rPr>
                <w:sz w:val="20"/>
                <w:szCs w:val="20"/>
              </w:rPr>
              <w:t>http://crp.tsgzy.edu.cn/oa/Index.aspx</w:t>
            </w:r>
          </w:p>
        </w:tc>
        <w:tc>
          <w:tcPr>
            <w:tcW w:w="321" w:type="pct"/>
            <w:vMerge w:val="continue"/>
            <w:tcBorders>
              <w:top w:val="single" w:color="auto" w:sz="4" w:space="0"/>
              <w:left w:val="single" w:color="auto" w:sz="4" w:space="0"/>
              <w:bottom w:val="single" w:color="000000" w:sz="4" w:space="0"/>
              <w:right w:val="single" w:color="auto" w:sz="4" w:space="0"/>
            </w:tcBorders>
            <w:vAlign w:val="center"/>
          </w:tcPr>
          <w:p w14:paraId="1471ECD6">
            <w:pPr>
              <w:rPr>
                <w:sz w:val="24"/>
              </w:rPr>
            </w:pPr>
          </w:p>
        </w:tc>
      </w:tr>
      <w:tr w14:paraId="702FD6CF">
        <w:tblPrEx>
          <w:tblCellMar>
            <w:top w:w="0" w:type="dxa"/>
            <w:left w:w="0" w:type="dxa"/>
            <w:bottom w:w="0" w:type="dxa"/>
            <w:right w:w="0" w:type="dxa"/>
          </w:tblCellMar>
        </w:tblPrEx>
        <w:trPr>
          <w:trHeight w:val="559" w:hRule="atLeast"/>
          <w:jc w:val="center"/>
        </w:trPr>
        <w:tc>
          <w:tcPr>
            <w:tcW w:w="150" w:type="pct"/>
            <w:vMerge w:val="continue"/>
            <w:tcBorders>
              <w:top w:val="single" w:color="auto" w:sz="4" w:space="0"/>
              <w:left w:val="single" w:color="auto" w:sz="4" w:space="0"/>
              <w:bottom w:val="single" w:color="000000" w:sz="4" w:space="0"/>
              <w:right w:val="single" w:color="auto" w:sz="4" w:space="0"/>
            </w:tcBorders>
            <w:vAlign w:val="center"/>
          </w:tcPr>
          <w:p w14:paraId="5AF1E246">
            <w:pPr>
              <w:rPr>
                <w:sz w:val="20"/>
                <w:szCs w:val="20"/>
              </w:rPr>
            </w:pPr>
          </w:p>
        </w:tc>
        <w:tc>
          <w:tcPr>
            <w:tcW w:w="375" w:type="pct"/>
            <w:vMerge w:val="continue"/>
            <w:tcBorders>
              <w:top w:val="single" w:color="auto" w:sz="4" w:space="0"/>
              <w:left w:val="single" w:color="auto" w:sz="4" w:space="0"/>
              <w:bottom w:val="single" w:color="000000" w:sz="4" w:space="0"/>
              <w:right w:val="single" w:color="auto" w:sz="4" w:space="0"/>
            </w:tcBorders>
            <w:vAlign w:val="center"/>
          </w:tcPr>
          <w:p w14:paraId="0C828ABF">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71189C5">
            <w:pPr>
              <w:jc w:val="left"/>
              <w:rPr>
                <w:sz w:val="20"/>
                <w:szCs w:val="20"/>
              </w:rPr>
            </w:pPr>
            <w:r>
              <w:rPr>
                <w:rFonts w:hint="eastAsia" w:ascii="仿宋_GB2312" w:eastAsia="仿宋_GB2312"/>
                <w:sz w:val="20"/>
                <w:szCs w:val="20"/>
              </w:rPr>
              <w:t>（</w:t>
            </w:r>
            <w:r>
              <w:rPr>
                <w:sz w:val="20"/>
                <w:szCs w:val="20"/>
              </w:rPr>
              <w:t>3</w:t>
            </w:r>
            <w:r>
              <w:rPr>
                <w:rFonts w:hint="eastAsia" w:ascii="仿宋_GB2312" w:eastAsia="仿宋_GB2312"/>
                <w:sz w:val="20"/>
                <w:szCs w:val="20"/>
              </w:rPr>
              <w:t>）教职工代表大会相关制度、工作报告</w:t>
            </w:r>
          </w:p>
        </w:tc>
        <w:tc>
          <w:tcPr>
            <w:tcW w:w="1446"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6DF0FE0">
            <w:pPr>
              <w:rPr>
                <w:sz w:val="20"/>
                <w:szCs w:val="20"/>
              </w:rPr>
            </w:pPr>
            <w:r>
              <w:rPr>
                <w:rFonts w:hint="eastAsia" w:ascii="仿宋_GB2312" w:eastAsia="仿宋_GB2312"/>
                <w:sz w:val="20"/>
                <w:szCs w:val="20"/>
              </w:rPr>
              <w:t>《学校教职工代表大会规定》（教育部令第</w:t>
            </w:r>
            <w:r>
              <w:rPr>
                <w:sz w:val="20"/>
                <w:szCs w:val="20"/>
              </w:rPr>
              <w:t>32</w:t>
            </w:r>
            <w:r>
              <w:rPr>
                <w:rFonts w:hint="eastAsia" w:ascii="仿宋_GB2312" w:eastAsia="仿宋_GB2312"/>
                <w:sz w:val="20"/>
                <w:szCs w:val="20"/>
              </w:rPr>
              <w:t>号）</w:t>
            </w: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670DEE3">
            <w:pPr>
              <w:jc w:val="center"/>
              <w:rPr>
                <w:rFonts w:ascii="宋体" w:hAnsi="宋体" w:cs="宋体"/>
                <w:sz w:val="20"/>
                <w:szCs w:val="20"/>
              </w:rPr>
            </w:pPr>
            <w:r>
              <w:rPr>
                <w:rFonts w:hint="eastAsia"/>
                <w:sz w:val="20"/>
                <w:szCs w:val="20"/>
              </w:rPr>
              <w:t>工会</w:t>
            </w:r>
          </w:p>
        </w:tc>
        <w:tc>
          <w:tcPr>
            <w:tcW w:w="699" w:type="pct"/>
            <w:tcBorders>
              <w:top w:val="nil"/>
              <w:left w:val="single" w:color="auto" w:sz="4" w:space="0"/>
              <w:bottom w:val="single" w:color="000000" w:sz="4" w:space="0"/>
              <w:right w:val="single" w:color="auto" w:sz="4" w:space="0"/>
            </w:tcBorders>
            <w:shd w:val="clear" w:color="auto" w:fill="auto"/>
            <w:vAlign w:val="center"/>
          </w:tcPr>
          <w:p w14:paraId="6323947D">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67045A25">
            <w:pPr>
              <w:jc w:val="center"/>
              <w:rPr>
                <w:rFonts w:ascii="宋体" w:hAnsi="宋体" w:cs="宋体"/>
                <w:sz w:val="20"/>
                <w:szCs w:val="20"/>
              </w:rPr>
            </w:pPr>
            <w:r>
              <w:rPr>
                <w:sz w:val="20"/>
                <w:szCs w:val="20"/>
              </w:rPr>
              <w:t>http://crp.tsgzy.edu.cn/oa/Index.aspx</w:t>
            </w:r>
          </w:p>
        </w:tc>
        <w:tc>
          <w:tcPr>
            <w:tcW w:w="321" w:type="pct"/>
            <w:vMerge w:val="continue"/>
            <w:tcBorders>
              <w:top w:val="single" w:color="auto" w:sz="4" w:space="0"/>
              <w:left w:val="single" w:color="auto" w:sz="4" w:space="0"/>
              <w:bottom w:val="single" w:color="000000" w:sz="4" w:space="0"/>
              <w:right w:val="single" w:color="auto" w:sz="4" w:space="0"/>
            </w:tcBorders>
            <w:vAlign w:val="center"/>
          </w:tcPr>
          <w:p w14:paraId="2D033C5F">
            <w:pPr>
              <w:rPr>
                <w:sz w:val="24"/>
              </w:rPr>
            </w:pPr>
          </w:p>
        </w:tc>
      </w:tr>
      <w:tr w14:paraId="541F0990">
        <w:tblPrEx>
          <w:tblCellMar>
            <w:top w:w="0" w:type="dxa"/>
            <w:left w:w="0" w:type="dxa"/>
            <w:bottom w:w="0" w:type="dxa"/>
            <w:right w:w="0" w:type="dxa"/>
          </w:tblCellMar>
        </w:tblPrEx>
        <w:trPr>
          <w:trHeight w:val="222" w:hRule="atLeast"/>
          <w:jc w:val="center"/>
        </w:trPr>
        <w:tc>
          <w:tcPr>
            <w:tcW w:w="150" w:type="pct"/>
            <w:vMerge w:val="continue"/>
            <w:tcBorders>
              <w:top w:val="single" w:color="auto" w:sz="4" w:space="0"/>
              <w:left w:val="single" w:color="auto" w:sz="4" w:space="0"/>
              <w:bottom w:val="single" w:color="000000" w:sz="4" w:space="0"/>
              <w:right w:val="single" w:color="auto" w:sz="4" w:space="0"/>
            </w:tcBorders>
            <w:vAlign w:val="center"/>
          </w:tcPr>
          <w:p w14:paraId="7650BC48">
            <w:pPr>
              <w:rPr>
                <w:sz w:val="20"/>
                <w:szCs w:val="20"/>
              </w:rPr>
            </w:pPr>
          </w:p>
        </w:tc>
        <w:tc>
          <w:tcPr>
            <w:tcW w:w="375" w:type="pct"/>
            <w:vMerge w:val="continue"/>
            <w:tcBorders>
              <w:top w:val="single" w:color="auto" w:sz="4" w:space="0"/>
              <w:left w:val="single" w:color="auto" w:sz="4" w:space="0"/>
              <w:bottom w:val="single" w:color="000000" w:sz="4" w:space="0"/>
              <w:right w:val="single" w:color="auto" w:sz="4" w:space="0"/>
            </w:tcBorders>
            <w:vAlign w:val="center"/>
          </w:tcPr>
          <w:p w14:paraId="12540461">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C38B835">
            <w:pPr>
              <w:jc w:val="left"/>
              <w:rPr>
                <w:sz w:val="20"/>
                <w:szCs w:val="20"/>
              </w:rPr>
            </w:pPr>
            <w:r>
              <w:rPr>
                <w:rFonts w:hint="eastAsia" w:ascii="仿宋_GB2312" w:eastAsia="仿宋_GB2312"/>
                <w:sz w:val="20"/>
                <w:szCs w:val="20"/>
              </w:rPr>
              <w:t>（</w:t>
            </w:r>
            <w:r>
              <w:rPr>
                <w:sz w:val="20"/>
                <w:szCs w:val="20"/>
              </w:rPr>
              <w:t>4</w:t>
            </w:r>
            <w:r>
              <w:rPr>
                <w:rFonts w:hint="eastAsia" w:ascii="仿宋_GB2312" w:eastAsia="仿宋_GB2312"/>
                <w:sz w:val="20"/>
                <w:szCs w:val="20"/>
              </w:rPr>
              <w:t>）学术委员会相关制度、年度报告</w:t>
            </w:r>
          </w:p>
        </w:tc>
        <w:tc>
          <w:tcPr>
            <w:tcW w:w="1446"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6FFA138">
            <w:pPr>
              <w:rPr>
                <w:sz w:val="20"/>
                <w:szCs w:val="20"/>
              </w:rPr>
            </w:pPr>
            <w:r>
              <w:rPr>
                <w:rFonts w:hint="eastAsia" w:ascii="仿宋_GB2312" w:eastAsia="仿宋_GB2312"/>
                <w:sz w:val="20"/>
                <w:szCs w:val="20"/>
              </w:rPr>
              <w:t>《高等学校学术委员会规程》（教育部令第</w:t>
            </w:r>
            <w:r>
              <w:rPr>
                <w:sz w:val="20"/>
                <w:szCs w:val="20"/>
              </w:rPr>
              <w:t>35</w:t>
            </w:r>
            <w:r>
              <w:rPr>
                <w:rFonts w:hint="eastAsia" w:ascii="仿宋_GB2312" w:eastAsia="仿宋_GB2312"/>
                <w:sz w:val="20"/>
                <w:szCs w:val="20"/>
              </w:rPr>
              <w:t>号）</w:t>
            </w: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7D8C49F">
            <w:pPr>
              <w:jc w:val="center"/>
              <w:rPr>
                <w:rFonts w:ascii="宋体" w:hAnsi="宋体" w:cs="宋体"/>
                <w:sz w:val="20"/>
                <w:szCs w:val="20"/>
              </w:rPr>
            </w:pPr>
            <w:r>
              <w:rPr>
                <w:rFonts w:hint="eastAsia"/>
                <w:sz w:val="20"/>
                <w:szCs w:val="20"/>
              </w:rPr>
              <w:t>科研处</w:t>
            </w:r>
          </w:p>
        </w:tc>
        <w:tc>
          <w:tcPr>
            <w:tcW w:w="699" w:type="pct"/>
            <w:tcBorders>
              <w:top w:val="nil"/>
              <w:left w:val="single" w:color="auto" w:sz="4" w:space="0"/>
              <w:bottom w:val="single" w:color="000000" w:sz="4" w:space="0"/>
              <w:right w:val="single" w:color="auto" w:sz="4" w:space="0"/>
            </w:tcBorders>
            <w:shd w:val="clear" w:color="auto" w:fill="auto"/>
            <w:vAlign w:val="center"/>
          </w:tcPr>
          <w:p w14:paraId="51FBFB73">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4AEA5600">
            <w:pPr>
              <w:jc w:val="center"/>
              <w:rPr>
                <w:rFonts w:ascii="宋体" w:hAnsi="宋体" w:cs="宋体"/>
                <w:sz w:val="20"/>
                <w:szCs w:val="20"/>
              </w:rPr>
            </w:pPr>
            <w:r>
              <w:rPr>
                <w:sz w:val="20"/>
                <w:szCs w:val="20"/>
              </w:rPr>
              <w:t>http://crp.tsgzy.edu.cn/oa/Index.aspx</w:t>
            </w:r>
          </w:p>
        </w:tc>
        <w:tc>
          <w:tcPr>
            <w:tcW w:w="321" w:type="pct"/>
            <w:vMerge w:val="continue"/>
            <w:tcBorders>
              <w:top w:val="single" w:color="auto" w:sz="4" w:space="0"/>
              <w:left w:val="single" w:color="auto" w:sz="4" w:space="0"/>
              <w:bottom w:val="single" w:color="000000" w:sz="4" w:space="0"/>
              <w:right w:val="single" w:color="auto" w:sz="4" w:space="0"/>
            </w:tcBorders>
            <w:vAlign w:val="center"/>
          </w:tcPr>
          <w:p w14:paraId="1AF21512">
            <w:pPr>
              <w:rPr>
                <w:sz w:val="24"/>
              </w:rPr>
            </w:pPr>
          </w:p>
        </w:tc>
      </w:tr>
      <w:tr w14:paraId="5312B3D5">
        <w:tblPrEx>
          <w:tblCellMar>
            <w:top w:w="0" w:type="dxa"/>
            <w:left w:w="0" w:type="dxa"/>
            <w:bottom w:w="0" w:type="dxa"/>
            <w:right w:w="0" w:type="dxa"/>
          </w:tblCellMar>
        </w:tblPrEx>
        <w:trPr>
          <w:trHeight w:val="74" w:hRule="atLeast"/>
          <w:jc w:val="center"/>
        </w:trPr>
        <w:tc>
          <w:tcPr>
            <w:tcW w:w="150" w:type="pct"/>
            <w:vMerge w:val="continue"/>
            <w:tcBorders>
              <w:top w:val="single" w:color="auto" w:sz="4" w:space="0"/>
              <w:left w:val="single" w:color="auto" w:sz="4" w:space="0"/>
              <w:bottom w:val="single" w:color="000000" w:sz="4" w:space="0"/>
              <w:right w:val="single" w:color="auto" w:sz="4" w:space="0"/>
            </w:tcBorders>
            <w:vAlign w:val="center"/>
          </w:tcPr>
          <w:p w14:paraId="45BEB1BA">
            <w:pPr>
              <w:rPr>
                <w:sz w:val="20"/>
                <w:szCs w:val="20"/>
              </w:rPr>
            </w:pPr>
          </w:p>
        </w:tc>
        <w:tc>
          <w:tcPr>
            <w:tcW w:w="375" w:type="pct"/>
            <w:vMerge w:val="continue"/>
            <w:tcBorders>
              <w:top w:val="single" w:color="auto" w:sz="4" w:space="0"/>
              <w:left w:val="single" w:color="auto" w:sz="4" w:space="0"/>
              <w:bottom w:val="single" w:color="000000" w:sz="4" w:space="0"/>
              <w:right w:val="single" w:color="auto" w:sz="4" w:space="0"/>
            </w:tcBorders>
            <w:vAlign w:val="center"/>
          </w:tcPr>
          <w:p w14:paraId="3FB5134C">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0B22593">
            <w:pPr>
              <w:jc w:val="left"/>
              <w:rPr>
                <w:sz w:val="20"/>
                <w:szCs w:val="20"/>
              </w:rPr>
            </w:pPr>
            <w:r>
              <w:rPr>
                <w:rFonts w:hint="eastAsia" w:ascii="仿宋_GB2312" w:eastAsia="仿宋_GB2312"/>
                <w:sz w:val="20"/>
                <w:szCs w:val="20"/>
              </w:rPr>
              <w:t>（</w:t>
            </w:r>
            <w:r>
              <w:rPr>
                <w:sz w:val="20"/>
                <w:szCs w:val="20"/>
              </w:rPr>
              <w:t>5</w:t>
            </w:r>
            <w:r>
              <w:rPr>
                <w:rFonts w:hint="eastAsia" w:ascii="仿宋_GB2312" w:eastAsia="仿宋_GB2312"/>
                <w:sz w:val="20"/>
                <w:szCs w:val="20"/>
              </w:rPr>
              <w:t>）学校发展规划、年度工作计划及重点工作安排</w:t>
            </w:r>
          </w:p>
        </w:tc>
        <w:tc>
          <w:tcPr>
            <w:tcW w:w="1446"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D583F82">
            <w:pPr>
              <w:rPr>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D894686">
            <w:pPr>
              <w:jc w:val="center"/>
              <w:rPr>
                <w:rFonts w:ascii="宋体" w:hAnsi="宋体" w:cs="宋体"/>
                <w:sz w:val="20"/>
                <w:szCs w:val="20"/>
              </w:rPr>
            </w:pPr>
            <w:r>
              <w:rPr>
                <w:rFonts w:hint="eastAsia"/>
                <w:sz w:val="20"/>
                <w:szCs w:val="20"/>
              </w:rPr>
              <w:t>党政办公室</w:t>
            </w:r>
          </w:p>
        </w:tc>
        <w:tc>
          <w:tcPr>
            <w:tcW w:w="699" w:type="pct"/>
            <w:tcBorders>
              <w:top w:val="nil"/>
              <w:left w:val="single" w:color="auto" w:sz="4" w:space="0"/>
              <w:bottom w:val="single" w:color="000000" w:sz="4" w:space="0"/>
              <w:right w:val="single" w:color="auto" w:sz="4" w:space="0"/>
            </w:tcBorders>
            <w:shd w:val="clear" w:color="auto" w:fill="auto"/>
            <w:vAlign w:val="center"/>
          </w:tcPr>
          <w:p w14:paraId="46637CE3">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71BAF431">
            <w:pPr>
              <w:jc w:val="center"/>
              <w:rPr>
                <w:rFonts w:ascii="宋体" w:hAnsi="宋体" w:cs="宋体"/>
                <w:sz w:val="20"/>
                <w:szCs w:val="20"/>
              </w:rPr>
            </w:pPr>
            <w:r>
              <w:rPr>
                <w:sz w:val="20"/>
                <w:szCs w:val="20"/>
              </w:rPr>
              <w:t>http://crp.tsgzy.edu.cn/oa/Index.aspx</w:t>
            </w:r>
          </w:p>
        </w:tc>
        <w:tc>
          <w:tcPr>
            <w:tcW w:w="321" w:type="pct"/>
            <w:vMerge w:val="continue"/>
            <w:tcBorders>
              <w:top w:val="single" w:color="auto" w:sz="4" w:space="0"/>
              <w:left w:val="single" w:color="auto" w:sz="4" w:space="0"/>
              <w:bottom w:val="single" w:color="000000" w:sz="4" w:space="0"/>
              <w:right w:val="single" w:color="auto" w:sz="4" w:space="0"/>
            </w:tcBorders>
            <w:vAlign w:val="center"/>
          </w:tcPr>
          <w:p w14:paraId="2C36F2F0">
            <w:pPr>
              <w:rPr>
                <w:sz w:val="24"/>
              </w:rPr>
            </w:pPr>
          </w:p>
        </w:tc>
      </w:tr>
      <w:tr w14:paraId="48702187">
        <w:tblPrEx>
          <w:tblCellMar>
            <w:top w:w="0" w:type="dxa"/>
            <w:left w:w="0" w:type="dxa"/>
            <w:bottom w:w="0" w:type="dxa"/>
            <w:right w:w="0" w:type="dxa"/>
          </w:tblCellMar>
        </w:tblPrEx>
        <w:trPr>
          <w:trHeight w:val="59" w:hRule="atLeast"/>
          <w:jc w:val="center"/>
        </w:trPr>
        <w:tc>
          <w:tcPr>
            <w:tcW w:w="150" w:type="pct"/>
            <w:vMerge w:val="continue"/>
            <w:tcBorders>
              <w:top w:val="single" w:color="auto" w:sz="4" w:space="0"/>
              <w:left w:val="single" w:color="auto" w:sz="4" w:space="0"/>
              <w:bottom w:val="single" w:color="000000" w:sz="4" w:space="0"/>
              <w:right w:val="single" w:color="auto" w:sz="4" w:space="0"/>
            </w:tcBorders>
            <w:vAlign w:val="center"/>
          </w:tcPr>
          <w:p w14:paraId="0F89D9A2">
            <w:pPr>
              <w:rPr>
                <w:sz w:val="20"/>
                <w:szCs w:val="20"/>
              </w:rPr>
            </w:pPr>
          </w:p>
        </w:tc>
        <w:tc>
          <w:tcPr>
            <w:tcW w:w="375" w:type="pct"/>
            <w:vMerge w:val="continue"/>
            <w:tcBorders>
              <w:top w:val="single" w:color="auto" w:sz="4" w:space="0"/>
              <w:left w:val="single" w:color="auto" w:sz="4" w:space="0"/>
              <w:bottom w:val="single" w:color="000000" w:sz="4" w:space="0"/>
              <w:right w:val="single" w:color="auto" w:sz="4" w:space="0"/>
            </w:tcBorders>
            <w:vAlign w:val="center"/>
          </w:tcPr>
          <w:p w14:paraId="366EDADE">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5CF4745">
            <w:pPr>
              <w:jc w:val="left"/>
              <w:rPr>
                <w:sz w:val="20"/>
                <w:szCs w:val="20"/>
              </w:rPr>
            </w:pPr>
            <w:r>
              <w:rPr>
                <w:rFonts w:hint="eastAsia" w:ascii="仿宋_GB2312" w:eastAsia="仿宋_GB2312"/>
                <w:sz w:val="20"/>
                <w:szCs w:val="20"/>
              </w:rPr>
              <w:t>（</w:t>
            </w:r>
            <w:r>
              <w:rPr>
                <w:sz w:val="20"/>
                <w:szCs w:val="20"/>
              </w:rPr>
              <w:t>6</w:t>
            </w:r>
            <w:r>
              <w:rPr>
                <w:rFonts w:hint="eastAsia" w:ascii="仿宋_GB2312" w:eastAsia="仿宋_GB2312"/>
                <w:sz w:val="20"/>
                <w:szCs w:val="20"/>
              </w:rPr>
              <w:t>）信息公开年度报告</w:t>
            </w:r>
          </w:p>
        </w:tc>
        <w:tc>
          <w:tcPr>
            <w:tcW w:w="1446"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BEE0CFE">
            <w:pPr>
              <w:rPr>
                <w:sz w:val="20"/>
                <w:szCs w:val="20"/>
              </w:rPr>
            </w:pPr>
            <w:r>
              <w:rPr>
                <w:rFonts w:hint="eastAsia" w:ascii="仿宋_GB2312" w:eastAsia="仿宋_GB2312"/>
                <w:sz w:val="20"/>
                <w:szCs w:val="20"/>
              </w:rPr>
              <w:t>《教育部办公厅关于做好</w:t>
            </w:r>
            <w:r>
              <w:rPr>
                <w:rFonts w:hint="eastAsia" w:eastAsia="仿宋_GB2312"/>
                <w:sz w:val="20"/>
                <w:szCs w:val="20"/>
              </w:rPr>
              <w:t>2023</w:t>
            </w:r>
            <w:r>
              <w:rPr>
                <w:rFonts w:hint="eastAsia"/>
                <w:sz w:val="20"/>
                <w:szCs w:val="20"/>
              </w:rPr>
              <w:t>年</w:t>
            </w:r>
            <w:r>
              <w:rPr>
                <w:rFonts w:hint="eastAsia" w:ascii="仿宋_GB2312" w:eastAsia="仿宋_GB2312"/>
                <w:sz w:val="20"/>
                <w:szCs w:val="20"/>
              </w:rPr>
              <w:t>度高校信息公开年度报告工作的通知》</w:t>
            </w: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6752777">
            <w:pPr>
              <w:jc w:val="center"/>
              <w:rPr>
                <w:rFonts w:ascii="宋体" w:hAnsi="宋体" w:cs="宋体"/>
                <w:sz w:val="20"/>
                <w:szCs w:val="20"/>
              </w:rPr>
            </w:pPr>
            <w:r>
              <w:rPr>
                <w:rFonts w:hint="eastAsia"/>
                <w:sz w:val="20"/>
                <w:szCs w:val="20"/>
              </w:rPr>
              <w:t>党政办公室</w:t>
            </w:r>
          </w:p>
        </w:tc>
        <w:tc>
          <w:tcPr>
            <w:tcW w:w="699" w:type="pct"/>
            <w:tcBorders>
              <w:top w:val="nil"/>
              <w:left w:val="single" w:color="auto" w:sz="4" w:space="0"/>
              <w:bottom w:val="single" w:color="000000" w:sz="4" w:space="0"/>
              <w:right w:val="single" w:color="auto" w:sz="4" w:space="0"/>
            </w:tcBorders>
            <w:shd w:val="clear" w:color="auto" w:fill="auto"/>
            <w:vAlign w:val="center"/>
          </w:tcPr>
          <w:p w14:paraId="1777ED1B">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6ECFD55C">
            <w:pPr>
              <w:jc w:val="center"/>
              <w:rPr>
                <w:rFonts w:ascii="宋体" w:hAnsi="宋体" w:cs="宋体"/>
                <w:sz w:val="20"/>
                <w:szCs w:val="20"/>
              </w:rPr>
            </w:pPr>
            <w:r>
              <w:rPr>
                <w:sz w:val="20"/>
                <w:szCs w:val="20"/>
              </w:rPr>
              <w:t>http://crp.tsgzy.edu.cn/oa/Index.aspx</w:t>
            </w:r>
          </w:p>
        </w:tc>
        <w:tc>
          <w:tcPr>
            <w:tcW w:w="321" w:type="pct"/>
            <w:vMerge w:val="continue"/>
            <w:tcBorders>
              <w:top w:val="single" w:color="auto" w:sz="4" w:space="0"/>
              <w:left w:val="single" w:color="auto" w:sz="4" w:space="0"/>
              <w:bottom w:val="single" w:color="000000" w:sz="4" w:space="0"/>
              <w:right w:val="single" w:color="auto" w:sz="4" w:space="0"/>
            </w:tcBorders>
            <w:vAlign w:val="center"/>
          </w:tcPr>
          <w:p w14:paraId="36391F3C">
            <w:pPr>
              <w:rPr>
                <w:sz w:val="24"/>
              </w:rPr>
            </w:pPr>
          </w:p>
        </w:tc>
      </w:tr>
      <w:tr w14:paraId="3F5770CC">
        <w:tblPrEx>
          <w:tblCellMar>
            <w:top w:w="0" w:type="dxa"/>
            <w:left w:w="0" w:type="dxa"/>
            <w:bottom w:w="0" w:type="dxa"/>
            <w:right w:w="0" w:type="dxa"/>
          </w:tblCellMar>
        </w:tblPrEx>
        <w:trPr>
          <w:trHeight w:val="645" w:hRule="atLeast"/>
          <w:jc w:val="center"/>
        </w:trPr>
        <w:tc>
          <w:tcPr>
            <w:tcW w:w="150"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10C324FE">
            <w:pPr>
              <w:jc w:val="center"/>
              <w:rPr>
                <w:sz w:val="20"/>
                <w:szCs w:val="20"/>
              </w:rPr>
            </w:pPr>
            <w:r>
              <w:rPr>
                <w:sz w:val="20"/>
                <w:szCs w:val="20"/>
              </w:rPr>
              <w:t>2</w:t>
            </w:r>
          </w:p>
        </w:tc>
        <w:tc>
          <w:tcPr>
            <w:tcW w:w="375"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296EDBCC">
            <w:pPr>
              <w:jc w:val="center"/>
              <w:rPr>
                <w:rFonts w:ascii="仿宋_GB2312" w:eastAsia="仿宋_GB2312"/>
                <w:sz w:val="20"/>
                <w:szCs w:val="20"/>
              </w:rPr>
            </w:pPr>
            <w:r>
              <w:rPr>
                <w:rFonts w:hint="eastAsia" w:ascii="仿宋_GB2312" w:eastAsia="仿宋_GB2312"/>
                <w:sz w:val="20"/>
                <w:szCs w:val="20"/>
              </w:rPr>
              <w:t>招生考试信息</w:t>
            </w:r>
          </w:p>
          <w:p w14:paraId="1CF2EB71">
            <w:pPr>
              <w:jc w:val="center"/>
              <w:rPr>
                <w:rFonts w:ascii="仿宋_GB2312" w:eastAsia="仿宋_GB2312"/>
                <w:sz w:val="20"/>
                <w:szCs w:val="20"/>
              </w:rPr>
            </w:pPr>
          </w:p>
          <w:p w14:paraId="2E3F08B9">
            <w:pPr>
              <w:jc w:val="center"/>
              <w:rPr>
                <w:sz w:val="20"/>
                <w:szCs w:val="20"/>
              </w:rPr>
            </w:pPr>
            <w:r>
              <w:rPr>
                <w:rFonts w:hint="eastAsia" w:ascii="仿宋_GB2312" w:eastAsia="仿宋_GB2312"/>
                <w:sz w:val="20"/>
                <w:szCs w:val="20"/>
              </w:rPr>
              <w:t>（</w:t>
            </w:r>
            <w:r>
              <w:rPr>
                <w:sz w:val="20"/>
                <w:szCs w:val="20"/>
              </w:rPr>
              <w:t>8</w:t>
            </w:r>
            <w:r>
              <w:rPr>
                <w:rFonts w:hint="eastAsia" w:ascii="仿宋_GB2312" w:eastAsia="仿宋_GB2312"/>
                <w:sz w:val="20"/>
                <w:szCs w:val="20"/>
              </w:rPr>
              <w:t>项）</w:t>
            </w: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33E5D4D">
            <w:pPr>
              <w:jc w:val="left"/>
              <w:rPr>
                <w:sz w:val="20"/>
                <w:szCs w:val="20"/>
              </w:rPr>
            </w:pPr>
            <w:r>
              <w:rPr>
                <w:rFonts w:hint="eastAsia" w:ascii="仿宋_GB2312" w:eastAsia="仿宋_GB2312"/>
                <w:sz w:val="20"/>
                <w:szCs w:val="20"/>
              </w:rPr>
              <w:t>（</w:t>
            </w:r>
            <w:r>
              <w:rPr>
                <w:sz w:val="20"/>
                <w:szCs w:val="20"/>
              </w:rPr>
              <w:t>7</w:t>
            </w:r>
            <w:r>
              <w:rPr>
                <w:rFonts w:hint="eastAsia" w:ascii="仿宋_GB2312" w:eastAsia="仿宋_GB2312"/>
                <w:sz w:val="20"/>
                <w:szCs w:val="20"/>
              </w:rPr>
              <w:t>）招生章程及特殊类型招生办法，分批次、分科类招生计划</w:t>
            </w:r>
          </w:p>
        </w:tc>
        <w:tc>
          <w:tcPr>
            <w:tcW w:w="1446"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A8E2060">
            <w:pPr>
              <w:rPr>
                <w:rFonts w:ascii="仿宋_GB2312" w:eastAsia="仿宋_GB2312"/>
                <w:sz w:val="20"/>
                <w:szCs w:val="20"/>
              </w:rPr>
            </w:pPr>
            <w:r>
              <w:rPr>
                <w:rFonts w:hint="eastAsia" w:ascii="仿宋_GB2312" w:eastAsia="仿宋_GB2312"/>
                <w:sz w:val="20"/>
                <w:szCs w:val="20"/>
              </w:rPr>
              <w:t>《国务院办公厅关于印发当前政府信息公开重点工作安排的通知》（国办发〔</w:t>
            </w:r>
            <w:r>
              <w:rPr>
                <w:sz w:val="20"/>
                <w:szCs w:val="20"/>
              </w:rPr>
              <w:t>2013</w:t>
            </w:r>
            <w:r>
              <w:rPr>
                <w:rFonts w:hint="eastAsia" w:ascii="仿宋_GB2312" w:eastAsia="仿宋_GB2312"/>
                <w:sz w:val="20"/>
                <w:szCs w:val="20"/>
              </w:rPr>
              <w:t>〕</w:t>
            </w:r>
            <w:r>
              <w:rPr>
                <w:sz w:val="20"/>
                <w:szCs w:val="20"/>
              </w:rPr>
              <w:t>73</w:t>
            </w:r>
            <w:r>
              <w:rPr>
                <w:rFonts w:hint="eastAsia" w:ascii="仿宋_GB2312" w:eastAsia="仿宋_GB2312"/>
                <w:sz w:val="20"/>
                <w:szCs w:val="20"/>
              </w:rPr>
              <w:t>号）</w:t>
            </w:r>
          </w:p>
          <w:p w14:paraId="497CCEB4">
            <w:pPr>
              <w:rPr>
                <w:rFonts w:ascii="仿宋_GB2312" w:eastAsia="仿宋_GB2312"/>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p>
          <w:p w14:paraId="5412A256">
            <w:pPr>
              <w:rPr>
                <w:rFonts w:ascii="仿宋_GB2312" w:eastAsia="仿宋_GB2312"/>
                <w:sz w:val="20"/>
                <w:szCs w:val="20"/>
              </w:rPr>
            </w:pPr>
            <w:r>
              <w:rPr>
                <w:rFonts w:hint="eastAsia" w:ascii="仿宋_GB2312" w:eastAsia="仿宋_GB2312"/>
                <w:sz w:val="20"/>
                <w:szCs w:val="20"/>
              </w:rPr>
              <w:t>《教育部关于进一步推进高校招生信息公开工作的通知》（教学函〔</w:t>
            </w:r>
            <w:r>
              <w:rPr>
                <w:sz w:val="20"/>
                <w:szCs w:val="20"/>
              </w:rPr>
              <w:t>2013</w:t>
            </w:r>
            <w:r>
              <w:rPr>
                <w:rFonts w:hint="eastAsia" w:ascii="仿宋_GB2312" w:eastAsia="仿宋_GB2312"/>
                <w:sz w:val="20"/>
                <w:szCs w:val="20"/>
              </w:rPr>
              <w:t>〕</w:t>
            </w:r>
            <w:r>
              <w:rPr>
                <w:sz w:val="20"/>
                <w:szCs w:val="20"/>
              </w:rPr>
              <w:t>9</w:t>
            </w:r>
            <w:r>
              <w:rPr>
                <w:rFonts w:hint="eastAsia" w:ascii="仿宋_GB2312" w:eastAsia="仿宋_GB2312"/>
                <w:sz w:val="20"/>
                <w:szCs w:val="20"/>
              </w:rPr>
              <w:t>号）</w:t>
            </w:r>
          </w:p>
          <w:p w14:paraId="69EA9A00">
            <w:pPr>
              <w:rPr>
                <w:sz w:val="20"/>
                <w:szCs w:val="20"/>
              </w:rPr>
            </w:pPr>
            <w:r>
              <w:rPr>
                <w:rFonts w:hint="eastAsia" w:ascii="仿宋_GB2312" w:eastAsia="仿宋_GB2312"/>
                <w:sz w:val="20"/>
                <w:szCs w:val="20"/>
              </w:rPr>
              <w:t>《普通高等学校招生违规行为处理暂行办法》（教育部令第36号）</w:t>
            </w:r>
          </w:p>
        </w:tc>
        <w:tc>
          <w:tcPr>
            <w:tcW w:w="558"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6822ED41">
            <w:pPr>
              <w:jc w:val="center"/>
              <w:rPr>
                <w:rFonts w:ascii="宋体" w:hAnsi="宋体" w:cs="宋体"/>
                <w:sz w:val="20"/>
                <w:szCs w:val="20"/>
              </w:rPr>
            </w:pPr>
            <w:r>
              <w:rPr>
                <w:rFonts w:hint="eastAsia"/>
                <w:sz w:val="20"/>
                <w:szCs w:val="20"/>
              </w:rPr>
              <w:t>招生就业处</w:t>
            </w:r>
          </w:p>
        </w:tc>
        <w:tc>
          <w:tcPr>
            <w:tcW w:w="699"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1EF4CF1A">
            <w:pPr>
              <w:jc w:val="center"/>
              <w:rPr>
                <w:sz w:val="20"/>
                <w:szCs w:val="20"/>
              </w:rPr>
            </w:pPr>
            <w:r>
              <w:rPr>
                <w:rFonts w:hint="eastAsia"/>
                <w:sz w:val="20"/>
                <w:szCs w:val="20"/>
                <w:lang w:eastAsia="zh-CN"/>
              </w:rPr>
              <w:t>唐山工业职业技术大学</w:t>
            </w:r>
            <w:r>
              <w:rPr>
                <w:rFonts w:hint="eastAsia"/>
                <w:sz w:val="20"/>
                <w:szCs w:val="20"/>
              </w:rPr>
              <w:t>招生就业网</w:t>
            </w:r>
          </w:p>
          <w:p w14:paraId="30B9CEEB">
            <w:pPr>
              <w:jc w:val="center"/>
              <w:rPr>
                <w:sz w:val="20"/>
                <w:szCs w:val="20"/>
              </w:rPr>
            </w:pPr>
            <w:r>
              <w:rPr>
                <w:rFonts w:hint="eastAsia"/>
                <w:sz w:val="20"/>
                <w:szCs w:val="20"/>
              </w:rPr>
              <w:t>https://zsw.tsgzy.edu.cn/</w:t>
            </w:r>
          </w:p>
        </w:tc>
        <w:tc>
          <w:tcPr>
            <w:tcW w:w="321"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6343E93B">
            <w:pPr>
              <w:jc w:val="center"/>
              <w:rPr>
                <w:sz w:val="24"/>
              </w:rPr>
            </w:pPr>
            <w:r>
              <w:rPr>
                <w:rFonts w:hint="eastAsia"/>
              </w:rPr>
              <w:t>202</w:t>
            </w:r>
            <w:r>
              <w:rPr>
                <w:rFonts w:hint="eastAsia"/>
                <w:lang w:val="en-US" w:eastAsia="zh-CN"/>
              </w:rPr>
              <w:t>5</w:t>
            </w:r>
            <w:r>
              <w:t>.8.31</w:t>
            </w:r>
          </w:p>
        </w:tc>
      </w:tr>
      <w:tr w14:paraId="1D8EDAE2">
        <w:tblPrEx>
          <w:tblCellMar>
            <w:top w:w="0" w:type="dxa"/>
            <w:left w:w="0" w:type="dxa"/>
            <w:bottom w:w="0" w:type="dxa"/>
            <w:right w:w="0" w:type="dxa"/>
          </w:tblCellMar>
        </w:tblPrEx>
        <w:trPr>
          <w:trHeight w:val="702"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188F1F53">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45B16521">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18182BF">
            <w:pPr>
              <w:jc w:val="left"/>
              <w:rPr>
                <w:sz w:val="20"/>
                <w:szCs w:val="20"/>
              </w:rPr>
            </w:pPr>
            <w:r>
              <w:rPr>
                <w:rFonts w:hint="eastAsia" w:ascii="仿宋_GB2312" w:eastAsia="仿宋_GB2312"/>
                <w:sz w:val="20"/>
                <w:szCs w:val="20"/>
              </w:rPr>
              <w:t>（</w:t>
            </w:r>
            <w:r>
              <w:rPr>
                <w:sz w:val="20"/>
                <w:szCs w:val="20"/>
              </w:rPr>
              <w:t>8</w:t>
            </w:r>
            <w:r>
              <w:rPr>
                <w:rFonts w:hint="eastAsia" w:ascii="仿宋_GB2312" w:eastAsia="仿宋_GB2312"/>
                <w:sz w:val="20"/>
                <w:szCs w:val="20"/>
              </w:rPr>
              <w:t>）保送、自主选拔录取、高水平运动员和艺术特长生招生等特殊类型招生入选考生资格及测试结果</w:t>
            </w:r>
          </w:p>
        </w:tc>
        <w:tc>
          <w:tcPr>
            <w:tcW w:w="1446" w:type="pct"/>
            <w:vMerge w:val="continue"/>
            <w:tcBorders>
              <w:top w:val="nil"/>
              <w:left w:val="single" w:color="auto" w:sz="4" w:space="0"/>
              <w:bottom w:val="single" w:color="auto" w:sz="4" w:space="0"/>
              <w:right w:val="single" w:color="auto" w:sz="4" w:space="0"/>
            </w:tcBorders>
            <w:vAlign w:val="center"/>
          </w:tcPr>
          <w:p w14:paraId="2081B879">
            <w:pPr>
              <w:rPr>
                <w:sz w:val="20"/>
                <w:szCs w:val="20"/>
              </w:rPr>
            </w:pPr>
          </w:p>
        </w:tc>
        <w:tc>
          <w:tcPr>
            <w:tcW w:w="558" w:type="pct"/>
            <w:vMerge w:val="continue"/>
            <w:tcBorders>
              <w:top w:val="nil"/>
              <w:left w:val="single" w:color="auto" w:sz="4" w:space="0"/>
              <w:bottom w:val="single" w:color="auto" w:sz="4" w:space="0"/>
              <w:right w:val="single" w:color="auto" w:sz="4" w:space="0"/>
            </w:tcBorders>
            <w:vAlign w:val="center"/>
          </w:tcPr>
          <w:p w14:paraId="2B8EC0B1">
            <w:pPr>
              <w:rPr>
                <w:rFonts w:ascii="宋体" w:hAnsi="宋体" w:cs="宋体"/>
                <w:sz w:val="20"/>
                <w:szCs w:val="20"/>
              </w:rPr>
            </w:pPr>
          </w:p>
        </w:tc>
        <w:tc>
          <w:tcPr>
            <w:tcW w:w="699" w:type="pct"/>
            <w:vMerge w:val="continue"/>
            <w:tcBorders>
              <w:top w:val="nil"/>
              <w:left w:val="single" w:color="auto" w:sz="4" w:space="0"/>
              <w:bottom w:val="single" w:color="000000" w:sz="4" w:space="0"/>
              <w:right w:val="single" w:color="auto" w:sz="4" w:space="0"/>
            </w:tcBorders>
            <w:vAlign w:val="center"/>
          </w:tcPr>
          <w:p w14:paraId="1E830BC3">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2466F9EE">
            <w:pPr>
              <w:rPr>
                <w:sz w:val="24"/>
              </w:rPr>
            </w:pPr>
          </w:p>
        </w:tc>
      </w:tr>
      <w:tr w14:paraId="060B6423">
        <w:tblPrEx>
          <w:tblCellMar>
            <w:top w:w="0" w:type="dxa"/>
            <w:left w:w="0" w:type="dxa"/>
            <w:bottom w:w="0" w:type="dxa"/>
            <w:right w:w="0" w:type="dxa"/>
          </w:tblCellMar>
        </w:tblPrEx>
        <w:trPr>
          <w:trHeight w:val="702"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0C6FC527">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36EB33B9">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82C0FC7">
            <w:pPr>
              <w:rPr>
                <w:sz w:val="20"/>
                <w:szCs w:val="20"/>
              </w:rPr>
            </w:pPr>
            <w:r>
              <w:rPr>
                <w:rFonts w:hint="eastAsia" w:ascii="仿宋_GB2312" w:eastAsia="仿宋_GB2312"/>
                <w:sz w:val="20"/>
                <w:szCs w:val="20"/>
              </w:rPr>
              <w:t>（</w:t>
            </w:r>
            <w:r>
              <w:rPr>
                <w:sz w:val="20"/>
                <w:szCs w:val="20"/>
              </w:rPr>
              <w:t>9</w:t>
            </w:r>
            <w:r>
              <w:rPr>
                <w:rFonts w:hint="eastAsia" w:ascii="仿宋_GB2312" w:eastAsia="仿宋_GB2312"/>
                <w:sz w:val="20"/>
                <w:szCs w:val="20"/>
              </w:rPr>
              <w:t>）考生个人录取信息查询渠道和办法，分批次、分科类录取人数和录取最低分</w:t>
            </w:r>
          </w:p>
        </w:tc>
        <w:tc>
          <w:tcPr>
            <w:tcW w:w="1446" w:type="pct"/>
            <w:vMerge w:val="continue"/>
            <w:tcBorders>
              <w:top w:val="nil"/>
              <w:left w:val="single" w:color="auto" w:sz="4" w:space="0"/>
              <w:bottom w:val="single" w:color="auto" w:sz="4" w:space="0"/>
              <w:right w:val="single" w:color="auto" w:sz="4" w:space="0"/>
            </w:tcBorders>
            <w:vAlign w:val="center"/>
          </w:tcPr>
          <w:p w14:paraId="4D6641C0">
            <w:pPr>
              <w:rPr>
                <w:sz w:val="20"/>
                <w:szCs w:val="20"/>
              </w:rPr>
            </w:pPr>
          </w:p>
        </w:tc>
        <w:tc>
          <w:tcPr>
            <w:tcW w:w="558" w:type="pct"/>
            <w:vMerge w:val="continue"/>
            <w:tcBorders>
              <w:top w:val="nil"/>
              <w:left w:val="single" w:color="auto" w:sz="4" w:space="0"/>
              <w:bottom w:val="single" w:color="auto" w:sz="4" w:space="0"/>
              <w:right w:val="single" w:color="auto" w:sz="4" w:space="0"/>
            </w:tcBorders>
            <w:vAlign w:val="center"/>
          </w:tcPr>
          <w:p w14:paraId="66F53159">
            <w:pPr>
              <w:rPr>
                <w:rFonts w:ascii="宋体" w:hAnsi="宋体" w:cs="宋体"/>
                <w:sz w:val="20"/>
                <w:szCs w:val="20"/>
              </w:rPr>
            </w:pPr>
          </w:p>
        </w:tc>
        <w:tc>
          <w:tcPr>
            <w:tcW w:w="699" w:type="pct"/>
            <w:vMerge w:val="continue"/>
            <w:tcBorders>
              <w:top w:val="nil"/>
              <w:left w:val="single" w:color="auto" w:sz="4" w:space="0"/>
              <w:bottom w:val="single" w:color="000000" w:sz="4" w:space="0"/>
              <w:right w:val="single" w:color="auto" w:sz="4" w:space="0"/>
            </w:tcBorders>
            <w:vAlign w:val="center"/>
          </w:tcPr>
          <w:p w14:paraId="677311ED">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44838ED5">
            <w:pPr>
              <w:rPr>
                <w:sz w:val="24"/>
              </w:rPr>
            </w:pPr>
          </w:p>
        </w:tc>
      </w:tr>
      <w:tr w14:paraId="10139E7B">
        <w:tblPrEx>
          <w:tblCellMar>
            <w:top w:w="0" w:type="dxa"/>
            <w:left w:w="0" w:type="dxa"/>
            <w:bottom w:w="0" w:type="dxa"/>
            <w:right w:w="0" w:type="dxa"/>
          </w:tblCellMar>
        </w:tblPrEx>
        <w:trPr>
          <w:trHeight w:val="702"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7E0D559F">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609ABCD4">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B4B0BD3">
            <w:pPr>
              <w:rPr>
                <w:sz w:val="20"/>
                <w:szCs w:val="20"/>
              </w:rPr>
            </w:pPr>
            <w:r>
              <w:rPr>
                <w:rFonts w:hint="eastAsia" w:ascii="仿宋_GB2312" w:eastAsia="仿宋_GB2312"/>
                <w:sz w:val="20"/>
                <w:szCs w:val="20"/>
              </w:rPr>
              <w:t>（</w:t>
            </w:r>
            <w:r>
              <w:rPr>
                <w:sz w:val="20"/>
                <w:szCs w:val="20"/>
              </w:rPr>
              <w:t>10</w:t>
            </w:r>
            <w:r>
              <w:rPr>
                <w:rFonts w:hint="eastAsia" w:ascii="仿宋_GB2312" w:eastAsia="仿宋_GB2312"/>
                <w:sz w:val="20"/>
                <w:szCs w:val="20"/>
              </w:rPr>
              <w:t>）招生咨询及考生申诉渠道，新生复查期间有关举报、调查及处理结果</w:t>
            </w:r>
          </w:p>
        </w:tc>
        <w:tc>
          <w:tcPr>
            <w:tcW w:w="1446" w:type="pct"/>
            <w:vMerge w:val="continue"/>
            <w:tcBorders>
              <w:top w:val="nil"/>
              <w:left w:val="single" w:color="auto" w:sz="4" w:space="0"/>
              <w:bottom w:val="single" w:color="auto" w:sz="4" w:space="0"/>
              <w:right w:val="single" w:color="auto" w:sz="4" w:space="0"/>
            </w:tcBorders>
            <w:vAlign w:val="center"/>
          </w:tcPr>
          <w:p w14:paraId="79116C53">
            <w:pPr>
              <w:rPr>
                <w:sz w:val="20"/>
                <w:szCs w:val="20"/>
              </w:rPr>
            </w:pPr>
          </w:p>
        </w:tc>
        <w:tc>
          <w:tcPr>
            <w:tcW w:w="558" w:type="pct"/>
            <w:vMerge w:val="continue"/>
            <w:tcBorders>
              <w:top w:val="nil"/>
              <w:left w:val="single" w:color="auto" w:sz="4" w:space="0"/>
              <w:bottom w:val="single" w:color="auto" w:sz="4" w:space="0"/>
              <w:right w:val="single" w:color="auto" w:sz="4" w:space="0"/>
            </w:tcBorders>
            <w:vAlign w:val="center"/>
          </w:tcPr>
          <w:p w14:paraId="2C75A1B7">
            <w:pPr>
              <w:rPr>
                <w:rFonts w:ascii="宋体" w:hAnsi="宋体" w:cs="宋体"/>
                <w:sz w:val="20"/>
                <w:szCs w:val="20"/>
              </w:rPr>
            </w:pPr>
          </w:p>
        </w:tc>
        <w:tc>
          <w:tcPr>
            <w:tcW w:w="699" w:type="pct"/>
            <w:vMerge w:val="continue"/>
            <w:tcBorders>
              <w:top w:val="nil"/>
              <w:left w:val="single" w:color="auto" w:sz="4" w:space="0"/>
              <w:bottom w:val="single" w:color="000000" w:sz="4" w:space="0"/>
              <w:right w:val="single" w:color="auto" w:sz="4" w:space="0"/>
            </w:tcBorders>
            <w:vAlign w:val="center"/>
          </w:tcPr>
          <w:p w14:paraId="37C9C32C">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525132B8">
            <w:pPr>
              <w:rPr>
                <w:sz w:val="24"/>
              </w:rPr>
            </w:pPr>
          </w:p>
        </w:tc>
      </w:tr>
      <w:tr w14:paraId="0A785E42">
        <w:tblPrEx>
          <w:tblCellMar>
            <w:top w:w="0" w:type="dxa"/>
            <w:left w:w="0" w:type="dxa"/>
            <w:bottom w:w="0" w:type="dxa"/>
            <w:right w:w="0" w:type="dxa"/>
          </w:tblCellMar>
        </w:tblPrEx>
        <w:trPr>
          <w:trHeight w:val="199"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5BB37BCB">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0FA113E9">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1857A1B">
            <w:pPr>
              <w:rPr>
                <w:sz w:val="20"/>
                <w:szCs w:val="20"/>
              </w:rPr>
            </w:pPr>
            <w:r>
              <w:rPr>
                <w:rFonts w:hint="eastAsia" w:ascii="仿宋_GB2312" w:eastAsia="仿宋_GB2312"/>
                <w:sz w:val="20"/>
                <w:szCs w:val="20"/>
              </w:rPr>
              <w:t>（</w:t>
            </w:r>
            <w:r>
              <w:rPr>
                <w:sz w:val="20"/>
                <w:szCs w:val="20"/>
              </w:rPr>
              <w:t>11</w:t>
            </w:r>
            <w:r>
              <w:rPr>
                <w:rFonts w:hint="eastAsia" w:ascii="仿宋_GB2312" w:eastAsia="仿宋_GB2312"/>
                <w:sz w:val="20"/>
                <w:szCs w:val="20"/>
              </w:rPr>
              <w:t>）研究生招生简章、招生专业目录、复试录取办法，各院（系、所）或学科、专业招收研究生人数</w:t>
            </w:r>
          </w:p>
        </w:tc>
        <w:tc>
          <w:tcPr>
            <w:tcW w:w="1446"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68AA3AF1">
            <w:pPr>
              <w:rPr>
                <w:rFonts w:ascii="仿宋_GB2312" w:eastAsia="仿宋_GB2312"/>
                <w:sz w:val="20"/>
                <w:szCs w:val="20"/>
              </w:rPr>
            </w:pPr>
          </w:p>
          <w:p w14:paraId="65A42749">
            <w:pPr>
              <w:rPr>
                <w:rFonts w:ascii="仿宋_GB2312" w:eastAsia="仿宋_GB2312"/>
                <w:sz w:val="20"/>
                <w:szCs w:val="20"/>
              </w:rPr>
            </w:pPr>
            <w:r>
              <w:rPr>
                <w:rFonts w:hint="eastAsia" w:ascii="仿宋_GB2312" w:eastAsia="仿宋_GB2312"/>
                <w:sz w:val="20"/>
                <w:szCs w:val="20"/>
              </w:rPr>
              <w:t>《教育部关于做好</w:t>
            </w:r>
            <w:r>
              <w:rPr>
                <w:sz w:val="20"/>
                <w:szCs w:val="20"/>
              </w:rPr>
              <w:t>2014</w:t>
            </w:r>
            <w:r>
              <w:rPr>
                <w:rFonts w:hint="eastAsia" w:ascii="仿宋_GB2312" w:eastAsia="仿宋_GB2312"/>
                <w:sz w:val="20"/>
                <w:szCs w:val="20"/>
              </w:rPr>
              <w:t>年全国硕士学位研究生招生工作的通知》（教学〔</w:t>
            </w:r>
            <w:r>
              <w:rPr>
                <w:sz w:val="20"/>
                <w:szCs w:val="20"/>
              </w:rPr>
              <w:t>2013</w:t>
            </w:r>
            <w:r>
              <w:rPr>
                <w:rFonts w:hint="eastAsia" w:ascii="仿宋_GB2312" w:eastAsia="仿宋_GB2312"/>
                <w:sz w:val="20"/>
                <w:szCs w:val="20"/>
              </w:rPr>
              <w:t>〕</w:t>
            </w:r>
            <w:r>
              <w:rPr>
                <w:sz w:val="20"/>
                <w:szCs w:val="20"/>
              </w:rPr>
              <w:t>12</w:t>
            </w:r>
            <w:r>
              <w:rPr>
                <w:rFonts w:hint="eastAsia" w:ascii="仿宋_GB2312" w:eastAsia="仿宋_GB2312"/>
                <w:sz w:val="20"/>
                <w:szCs w:val="20"/>
              </w:rPr>
              <w:t>号）</w:t>
            </w:r>
          </w:p>
          <w:p w14:paraId="6583FF66">
            <w:pPr>
              <w:rPr>
                <w:sz w:val="20"/>
                <w:szCs w:val="20"/>
              </w:rPr>
            </w:pPr>
            <w:r>
              <w:rPr>
                <w:rFonts w:hint="eastAsia" w:ascii="仿宋_GB2312" w:eastAsia="仿宋_GB2312"/>
                <w:sz w:val="20"/>
                <w:szCs w:val="20"/>
              </w:rPr>
              <w:t>《教育部办公厅关于做好</w:t>
            </w:r>
            <w:r>
              <w:rPr>
                <w:sz w:val="20"/>
                <w:szCs w:val="20"/>
              </w:rPr>
              <w:t>2014</w:t>
            </w:r>
            <w:r>
              <w:rPr>
                <w:rFonts w:hint="eastAsia" w:ascii="仿宋_GB2312" w:eastAsia="仿宋_GB2312"/>
                <w:sz w:val="20"/>
                <w:szCs w:val="20"/>
              </w:rPr>
              <w:t>年硕士学位研究生招生考试执法监督工作的通知》（教监厅〔</w:t>
            </w:r>
            <w:r>
              <w:rPr>
                <w:sz w:val="20"/>
                <w:szCs w:val="20"/>
              </w:rPr>
              <w:t>2013</w:t>
            </w:r>
            <w:r>
              <w:rPr>
                <w:rFonts w:hint="eastAsia" w:ascii="仿宋_GB2312" w:eastAsia="仿宋_GB2312"/>
                <w:sz w:val="20"/>
                <w:szCs w:val="20"/>
              </w:rPr>
              <w:t>〕</w:t>
            </w:r>
            <w:r>
              <w:rPr>
                <w:sz w:val="20"/>
                <w:szCs w:val="20"/>
              </w:rPr>
              <w:t>2</w:t>
            </w:r>
            <w:r>
              <w:rPr>
                <w:rFonts w:hint="eastAsia" w:ascii="仿宋_GB2312" w:eastAsia="仿宋_GB2312"/>
                <w:sz w:val="20"/>
                <w:szCs w:val="20"/>
              </w:rPr>
              <w:t>号）</w:t>
            </w:r>
          </w:p>
        </w:tc>
        <w:tc>
          <w:tcPr>
            <w:tcW w:w="558"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13E9CAC4">
            <w:pPr>
              <w:jc w:val="center"/>
              <w:rPr>
                <w:rFonts w:ascii="宋体" w:hAnsi="宋体" w:cs="宋体"/>
                <w:sz w:val="20"/>
                <w:szCs w:val="20"/>
              </w:rPr>
            </w:pPr>
            <w:r>
              <w:rPr>
                <w:rFonts w:hint="eastAsia"/>
                <w:sz w:val="20"/>
                <w:szCs w:val="20"/>
              </w:rPr>
              <w:t>——</w:t>
            </w: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B148B76">
            <w:pPr>
              <w:jc w:val="center"/>
              <w:rPr>
                <w:sz w:val="20"/>
                <w:szCs w:val="20"/>
              </w:rPr>
            </w:pPr>
            <w:r>
              <w:rPr>
                <w:sz w:val="20"/>
                <w:szCs w:val="20"/>
              </w:rPr>
              <w:t>　</w:t>
            </w:r>
          </w:p>
        </w:tc>
        <w:tc>
          <w:tcPr>
            <w:tcW w:w="321" w:type="pct"/>
            <w:vMerge w:val="continue"/>
            <w:tcBorders>
              <w:top w:val="nil"/>
              <w:left w:val="single" w:color="auto" w:sz="4" w:space="0"/>
              <w:bottom w:val="single" w:color="000000" w:sz="4" w:space="0"/>
              <w:right w:val="single" w:color="auto" w:sz="4" w:space="0"/>
            </w:tcBorders>
            <w:vAlign w:val="center"/>
          </w:tcPr>
          <w:p w14:paraId="2E36E192">
            <w:pPr>
              <w:rPr>
                <w:sz w:val="24"/>
              </w:rPr>
            </w:pPr>
          </w:p>
        </w:tc>
      </w:tr>
      <w:tr w14:paraId="7D963051">
        <w:tblPrEx>
          <w:tblCellMar>
            <w:top w:w="0" w:type="dxa"/>
            <w:left w:w="0" w:type="dxa"/>
            <w:bottom w:w="0" w:type="dxa"/>
            <w:right w:w="0" w:type="dxa"/>
          </w:tblCellMar>
        </w:tblPrEx>
        <w:trPr>
          <w:trHeight w:val="195"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46C4B0A4">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02B952EE">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AAF35A7">
            <w:pPr>
              <w:jc w:val="left"/>
              <w:rPr>
                <w:sz w:val="20"/>
                <w:szCs w:val="20"/>
              </w:rPr>
            </w:pPr>
            <w:r>
              <w:rPr>
                <w:rFonts w:hint="eastAsia" w:ascii="仿宋_GB2312" w:eastAsia="仿宋_GB2312"/>
                <w:sz w:val="20"/>
                <w:szCs w:val="20"/>
              </w:rPr>
              <w:t>（</w:t>
            </w:r>
            <w:r>
              <w:rPr>
                <w:sz w:val="20"/>
                <w:szCs w:val="20"/>
              </w:rPr>
              <w:t>12</w:t>
            </w:r>
            <w:r>
              <w:rPr>
                <w:rFonts w:hint="eastAsia" w:ascii="仿宋_GB2312" w:eastAsia="仿宋_GB2312"/>
                <w:sz w:val="20"/>
                <w:szCs w:val="20"/>
              </w:rPr>
              <w:t>）参加研究生复试的考生成绩</w:t>
            </w:r>
          </w:p>
        </w:tc>
        <w:tc>
          <w:tcPr>
            <w:tcW w:w="1446" w:type="pct"/>
            <w:vMerge w:val="continue"/>
            <w:tcBorders>
              <w:top w:val="nil"/>
              <w:left w:val="single" w:color="auto" w:sz="4" w:space="0"/>
              <w:bottom w:val="single" w:color="000000" w:sz="4" w:space="0"/>
              <w:right w:val="single" w:color="auto" w:sz="4" w:space="0"/>
            </w:tcBorders>
            <w:vAlign w:val="center"/>
          </w:tcPr>
          <w:p w14:paraId="4EA9FC32">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6A3CE14E">
            <w:pPr>
              <w:rPr>
                <w:rFonts w:ascii="宋体" w:hAnsi="宋体" w:cs="宋体"/>
                <w:sz w:val="20"/>
                <w:szCs w:val="20"/>
              </w:rPr>
            </w:pP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C9C50B1">
            <w:pPr>
              <w:jc w:val="center"/>
              <w:rPr>
                <w:sz w:val="20"/>
                <w:szCs w:val="20"/>
              </w:rPr>
            </w:pPr>
            <w:r>
              <w:rPr>
                <w:sz w:val="20"/>
                <w:szCs w:val="20"/>
              </w:rPr>
              <w:t>　</w:t>
            </w:r>
          </w:p>
        </w:tc>
        <w:tc>
          <w:tcPr>
            <w:tcW w:w="321" w:type="pct"/>
            <w:vMerge w:val="continue"/>
            <w:tcBorders>
              <w:top w:val="nil"/>
              <w:left w:val="single" w:color="auto" w:sz="4" w:space="0"/>
              <w:bottom w:val="single" w:color="000000" w:sz="4" w:space="0"/>
              <w:right w:val="single" w:color="auto" w:sz="4" w:space="0"/>
            </w:tcBorders>
            <w:vAlign w:val="center"/>
          </w:tcPr>
          <w:p w14:paraId="53D06A98">
            <w:pPr>
              <w:rPr>
                <w:sz w:val="24"/>
              </w:rPr>
            </w:pPr>
          </w:p>
        </w:tc>
      </w:tr>
      <w:tr w14:paraId="7C201A2A">
        <w:tblPrEx>
          <w:tblCellMar>
            <w:top w:w="0" w:type="dxa"/>
            <w:left w:w="0" w:type="dxa"/>
            <w:bottom w:w="0" w:type="dxa"/>
            <w:right w:w="0" w:type="dxa"/>
          </w:tblCellMar>
        </w:tblPrEx>
        <w:trPr>
          <w:trHeight w:val="175"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05C8913C">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7A785D5F">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6A2F6A7">
            <w:pPr>
              <w:jc w:val="left"/>
              <w:rPr>
                <w:sz w:val="20"/>
                <w:szCs w:val="20"/>
              </w:rPr>
            </w:pPr>
            <w:r>
              <w:rPr>
                <w:rFonts w:hint="eastAsia" w:ascii="仿宋_GB2312" w:eastAsia="仿宋_GB2312"/>
                <w:sz w:val="20"/>
                <w:szCs w:val="20"/>
              </w:rPr>
              <w:t>（</w:t>
            </w:r>
            <w:r>
              <w:rPr>
                <w:sz w:val="20"/>
                <w:szCs w:val="20"/>
              </w:rPr>
              <w:t>13</w:t>
            </w:r>
            <w:r>
              <w:rPr>
                <w:rFonts w:hint="eastAsia" w:ascii="仿宋_GB2312" w:eastAsia="仿宋_GB2312"/>
                <w:sz w:val="20"/>
                <w:szCs w:val="20"/>
              </w:rPr>
              <w:t>）拟录取研究生名单</w:t>
            </w:r>
          </w:p>
        </w:tc>
        <w:tc>
          <w:tcPr>
            <w:tcW w:w="1446" w:type="pct"/>
            <w:vMerge w:val="continue"/>
            <w:tcBorders>
              <w:top w:val="nil"/>
              <w:left w:val="single" w:color="auto" w:sz="4" w:space="0"/>
              <w:bottom w:val="single" w:color="000000" w:sz="4" w:space="0"/>
              <w:right w:val="single" w:color="auto" w:sz="4" w:space="0"/>
            </w:tcBorders>
            <w:vAlign w:val="center"/>
          </w:tcPr>
          <w:p w14:paraId="64DD494B">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1851C05A">
            <w:pPr>
              <w:rPr>
                <w:rFonts w:ascii="宋体" w:hAnsi="宋体" w:cs="宋体"/>
                <w:sz w:val="20"/>
                <w:szCs w:val="20"/>
              </w:rPr>
            </w:pP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34D0B13">
            <w:pPr>
              <w:jc w:val="center"/>
              <w:rPr>
                <w:sz w:val="20"/>
                <w:szCs w:val="20"/>
              </w:rPr>
            </w:pPr>
            <w:r>
              <w:rPr>
                <w:sz w:val="20"/>
                <w:szCs w:val="20"/>
              </w:rPr>
              <w:t>　</w:t>
            </w:r>
          </w:p>
        </w:tc>
        <w:tc>
          <w:tcPr>
            <w:tcW w:w="321" w:type="pct"/>
            <w:vMerge w:val="continue"/>
            <w:tcBorders>
              <w:top w:val="nil"/>
              <w:left w:val="single" w:color="auto" w:sz="4" w:space="0"/>
              <w:bottom w:val="single" w:color="000000" w:sz="4" w:space="0"/>
              <w:right w:val="single" w:color="auto" w:sz="4" w:space="0"/>
            </w:tcBorders>
            <w:vAlign w:val="center"/>
          </w:tcPr>
          <w:p w14:paraId="0DAE8B3B">
            <w:pPr>
              <w:rPr>
                <w:sz w:val="24"/>
              </w:rPr>
            </w:pPr>
          </w:p>
        </w:tc>
      </w:tr>
      <w:tr w14:paraId="080ECF0B">
        <w:tblPrEx>
          <w:tblCellMar>
            <w:top w:w="0" w:type="dxa"/>
            <w:left w:w="0" w:type="dxa"/>
            <w:bottom w:w="0" w:type="dxa"/>
            <w:right w:w="0" w:type="dxa"/>
          </w:tblCellMar>
        </w:tblPrEx>
        <w:trPr>
          <w:trHeight w:val="59"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7698C540">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5DD41C2A">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D495119">
            <w:pPr>
              <w:jc w:val="left"/>
              <w:rPr>
                <w:sz w:val="20"/>
                <w:szCs w:val="20"/>
              </w:rPr>
            </w:pPr>
            <w:r>
              <w:rPr>
                <w:rFonts w:hint="eastAsia" w:ascii="仿宋_GB2312" w:eastAsia="仿宋_GB2312"/>
                <w:sz w:val="20"/>
                <w:szCs w:val="20"/>
              </w:rPr>
              <w:t>（</w:t>
            </w:r>
            <w:r>
              <w:rPr>
                <w:sz w:val="20"/>
                <w:szCs w:val="20"/>
              </w:rPr>
              <w:t>14</w:t>
            </w:r>
            <w:r>
              <w:rPr>
                <w:rFonts w:hint="eastAsia" w:ascii="仿宋_GB2312" w:eastAsia="仿宋_GB2312"/>
                <w:sz w:val="20"/>
                <w:szCs w:val="20"/>
              </w:rPr>
              <w:t>）研究生招生咨询及申诉渠道</w:t>
            </w:r>
          </w:p>
        </w:tc>
        <w:tc>
          <w:tcPr>
            <w:tcW w:w="1446" w:type="pct"/>
            <w:vMerge w:val="continue"/>
            <w:tcBorders>
              <w:top w:val="nil"/>
              <w:left w:val="single" w:color="auto" w:sz="4" w:space="0"/>
              <w:bottom w:val="single" w:color="000000" w:sz="4" w:space="0"/>
              <w:right w:val="single" w:color="auto" w:sz="4" w:space="0"/>
            </w:tcBorders>
            <w:vAlign w:val="center"/>
          </w:tcPr>
          <w:p w14:paraId="70B8FDC0">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03EBAE82">
            <w:pPr>
              <w:rPr>
                <w:rFonts w:ascii="宋体" w:hAnsi="宋体" w:cs="宋体"/>
                <w:sz w:val="20"/>
                <w:szCs w:val="20"/>
              </w:rPr>
            </w:pP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392592B">
            <w:pPr>
              <w:jc w:val="center"/>
              <w:rPr>
                <w:sz w:val="20"/>
                <w:szCs w:val="20"/>
              </w:rPr>
            </w:pPr>
            <w:r>
              <w:rPr>
                <w:sz w:val="20"/>
                <w:szCs w:val="20"/>
              </w:rPr>
              <w:t>　</w:t>
            </w:r>
          </w:p>
        </w:tc>
        <w:tc>
          <w:tcPr>
            <w:tcW w:w="321" w:type="pct"/>
            <w:vMerge w:val="continue"/>
            <w:tcBorders>
              <w:top w:val="nil"/>
              <w:left w:val="single" w:color="auto" w:sz="4" w:space="0"/>
              <w:bottom w:val="single" w:color="000000" w:sz="4" w:space="0"/>
              <w:right w:val="single" w:color="auto" w:sz="4" w:space="0"/>
            </w:tcBorders>
            <w:vAlign w:val="center"/>
          </w:tcPr>
          <w:p w14:paraId="207372FB">
            <w:pPr>
              <w:rPr>
                <w:sz w:val="24"/>
              </w:rPr>
            </w:pPr>
          </w:p>
        </w:tc>
      </w:tr>
      <w:tr w14:paraId="6FC2D6D2">
        <w:tblPrEx>
          <w:tblCellMar>
            <w:top w:w="0" w:type="dxa"/>
            <w:left w:w="0" w:type="dxa"/>
            <w:bottom w:w="0" w:type="dxa"/>
            <w:right w:w="0" w:type="dxa"/>
          </w:tblCellMar>
        </w:tblPrEx>
        <w:trPr>
          <w:trHeight w:val="642" w:hRule="atLeast"/>
          <w:jc w:val="center"/>
        </w:trPr>
        <w:tc>
          <w:tcPr>
            <w:tcW w:w="150"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3B2993E4">
            <w:pPr>
              <w:jc w:val="center"/>
              <w:rPr>
                <w:sz w:val="20"/>
                <w:szCs w:val="20"/>
              </w:rPr>
            </w:pPr>
            <w:r>
              <w:rPr>
                <w:sz w:val="20"/>
                <w:szCs w:val="20"/>
              </w:rPr>
              <w:t>3</w:t>
            </w:r>
          </w:p>
        </w:tc>
        <w:tc>
          <w:tcPr>
            <w:tcW w:w="375"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51B62D3">
            <w:pPr>
              <w:jc w:val="center"/>
              <w:rPr>
                <w:rFonts w:ascii="仿宋_GB2312" w:eastAsia="仿宋_GB2312"/>
                <w:sz w:val="20"/>
                <w:szCs w:val="20"/>
              </w:rPr>
            </w:pPr>
            <w:r>
              <w:rPr>
                <w:rFonts w:hint="eastAsia" w:ascii="仿宋_GB2312" w:eastAsia="仿宋_GB2312"/>
                <w:sz w:val="20"/>
                <w:szCs w:val="20"/>
              </w:rPr>
              <w:t>财务、资产及收费信息</w:t>
            </w:r>
          </w:p>
          <w:p w14:paraId="46AB200E">
            <w:pPr>
              <w:jc w:val="center"/>
              <w:rPr>
                <w:rFonts w:ascii="仿宋_GB2312" w:eastAsia="仿宋_GB2312"/>
                <w:sz w:val="20"/>
                <w:szCs w:val="20"/>
              </w:rPr>
            </w:pPr>
          </w:p>
          <w:p w14:paraId="2DF9860A">
            <w:pPr>
              <w:jc w:val="center"/>
              <w:rPr>
                <w:sz w:val="20"/>
                <w:szCs w:val="20"/>
              </w:rPr>
            </w:pPr>
            <w:r>
              <w:rPr>
                <w:rFonts w:hint="eastAsia" w:ascii="仿宋_GB2312" w:eastAsia="仿宋_GB2312"/>
                <w:sz w:val="20"/>
                <w:szCs w:val="20"/>
              </w:rPr>
              <w:t>（</w:t>
            </w:r>
            <w:r>
              <w:rPr>
                <w:sz w:val="20"/>
                <w:szCs w:val="20"/>
              </w:rPr>
              <w:t>7</w:t>
            </w:r>
            <w:r>
              <w:rPr>
                <w:rFonts w:hint="eastAsia" w:ascii="仿宋_GB2312" w:eastAsia="仿宋_GB2312"/>
                <w:sz w:val="20"/>
                <w:szCs w:val="20"/>
              </w:rPr>
              <w:t>项）</w:t>
            </w: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897F603">
            <w:pPr>
              <w:jc w:val="left"/>
              <w:rPr>
                <w:sz w:val="20"/>
                <w:szCs w:val="20"/>
              </w:rPr>
            </w:pPr>
            <w:r>
              <w:rPr>
                <w:rFonts w:hint="eastAsia" w:ascii="仿宋_GB2312" w:eastAsia="仿宋_GB2312"/>
                <w:sz w:val="20"/>
                <w:szCs w:val="20"/>
              </w:rPr>
              <w:t>（</w:t>
            </w:r>
            <w:r>
              <w:rPr>
                <w:sz w:val="20"/>
                <w:szCs w:val="20"/>
              </w:rPr>
              <w:t>15</w:t>
            </w:r>
            <w:r>
              <w:rPr>
                <w:rFonts w:hint="eastAsia" w:ascii="仿宋_GB2312" w:eastAsia="仿宋_GB2312"/>
                <w:sz w:val="20"/>
                <w:szCs w:val="20"/>
              </w:rPr>
              <w:t>）财务、资产管理制度</w:t>
            </w:r>
          </w:p>
        </w:tc>
        <w:tc>
          <w:tcPr>
            <w:tcW w:w="1446"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58C5BCC3">
            <w:pPr>
              <w:rPr>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r>
              <w:rPr>
                <w:sz w:val="20"/>
                <w:szCs w:val="20"/>
              </w:rPr>
              <w:t xml:space="preserve"> </w:t>
            </w: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4E75F5B">
            <w:pPr>
              <w:jc w:val="center"/>
              <w:rPr>
                <w:rFonts w:ascii="宋体" w:hAnsi="宋体" w:cs="宋体"/>
                <w:sz w:val="20"/>
                <w:szCs w:val="20"/>
              </w:rPr>
            </w:pPr>
            <w:r>
              <w:rPr>
                <w:rFonts w:hint="eastAsia"/>
                <w:sz w:val="20"/>
                <w:szCs w:val="20"/>
              </w:rPr>
              <w:t>财务处、资产处</w:t>
            </w:r>
          </w:p>
        </w:tc>
        <w:tc>
          <w:tcPr>
            <w:tcW w:w="699" w:type="pct"/>
            <w:vMerge w:val="restart"/>
            <w:tcBorders>
              <w:top w:val="nil"/>
              <w:left w:val="nil"/>
              <w:right w:val="single" w:color="auto" w:sz="4" w:space="0"/>
            </w:tcBorders>
            <w:shd w:val="clear" w:color="auto" w:fill="auto"/>
            <w:tcMar>
              <w:top w:w="15" w:type="dxa"/>
              <w:left w:w="15" w:type="dxa"/>
              <w:bottom w:w="0" w:type="dxa"/>
              <w:right w:w="15" w:type="dxa"/>
            </w:tcMar>
            <w:vAlign w:val="center"/>
          </w:tcPr>
          <w:p w14:paraId="2B41E9B8">
            <w:pPr>
              <w:jc w:val="center"/>
              <w:rPr>
                <w:sz w:val="20"/>
                <w:szCs w:val="20"/>
              </w:rPr>
            </w:pPr>
            <w:r>
              <w:rPr>
                <w:rFonts w:hint="eastAsia"/>
                <w:sz w:val="20"/>
                <w:szCs w:val="20"/>
                <w:lang w:eastAsia="zh-CN"/>
              </w:rPr>
              <w:t>唐山工业职业技术大学</w:t>
            </w:r>
            <w:r>
              <w:rPr>
                <w:rFonts w:hint="eastAsia"/>
                <w:sz w:val="20"/>
                <w:szCs w:val="20"/>
              </w:rPr>
              <w:t>官方</w:t>
            </w:r>
            <w:r>
              <w:rPr>
                <w:sz w:val="20"/>
                <w:szCs w:val="20"/>
              </w:rPr>
              <w:t>网站</w:t>
            </w:r>
            <w:r>
              <w:rPr>
                <w:rFonts w:hint="eastAsia"/>
                <w:sz w:val="20"/>
                <w:szCs w:val="20"/>
              </w:rPr>
              <w:t>公告栏</w:t>
            </w:r>
            <w:r>
              <w:rPr>
                <w:sz w:val="20"/>
                <w:szCs w:val="20"/>
              </w:rPr>
              <w:t>http://www.tsgzy.edu.cn/col/1385428618578/index.html</w:t>
            </w:r>
          </w:p>
        </w:tc>
        <w:tc>
          <w:tcPr>
            <w:tcW w:w="321"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AB01282">
            <w:pPr>
              <w:jc w:val="center"/>
              <w:rPr>
                <w:sz w:val="24"/>
              </w:rPr>
            </w:pPr>
            <w:r>
              <w:rPr>
                <w:rFonts w:hint="eastAsia"/>
              </w:rPr>
              <w:t>202</w:t>
            </w:r>
            <w:r>
              <w:rPr>
                <w:rFonts w:hint="eastAsia"/>
                <w:lang w:val="en-US" w:eastAsia="zh-CN"/>
              </w:rPr>
              <w:t>5</w:t>
            </w:r>
            <w:r>
              <w:t>.8.31</w:t>
            </w:r>
          </w:p>
        </w:tc>
      </w:tr>
      <w:tr w14:paraId="39606273">
        <w:tblPrEx>
          <w:tblCellMar>
            <w:top w:w="0" w:type="dxa"/>
            <w:left w:w="0" w:type="dxa"/>
            <w:bottom w:w="0" w:type="dxa"/>
            <w:right w:w="0" w:type="dxa"/>
          </w:tblCellMar>
        </w:tblPrEx>
        <w:trPr>
          <w:trHeight w:val="642"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20B82F13">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54F2BE3F">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F7968A0">
            <w:pPr>
              <w:jc w:val="left"/>
              <w:rPr>
                <w:sz w:val="20"/>
                <w:szCs w:val="20"/>
              </w:rPr>
            </w:pPr>
            <w:r>
              <w:rPr>
                <w:rFonts w:hint="eastAsia" w:ascii="仿宋_GB2312" w:eastAsia="仿宋_GB2312"/>
                <w:sz w:val="20"/>
                <w:szCs w:val="20"/>
              </w:rPr>
              <w:t>（</w:t>
            </w:r>
            <w:r>
              <w:rPr>
                <w:sz w:val="20"/>
                <w:szCs w:val="20"/>
              </w:rPr>
              <w:t>16</w:t>
            </w:r>
            <w:r>
              <w:rPr>
                <w:rFonts w:hint="eastAsia" w:ascii="仿宋_GB2312" w:eastAsia="仿宋_GB2312"/>
                <w:sz w:val="20"/>
                <w:szCs w:val="20"/>
              </w:rPr>
              <w:t>）受捐赠财产的使用与管理情况</w:t>
            </w:r>
          </w:p>
        </w:tc>
        <w:tc>
          <w:tcPr>
            <w:tcW w:w="1446" w:type="pct"/>
            <w:vMerge w:val="continue"/>
            <w:tcBorders>
              <w:top w:val="nil"/>
              <w:left w:val="single" w:color="auto" w:sz="4" w:space="0"/>
              <w:bottom w:val="single" w:color="000000" w:sz="4" w:space="0"/>
              <w:right w:val="single" w:color="auto" w:sz="4" w:space="0"/>
            </w:tcBorders>
            <w:vAlign w:val="center"/>
          </w:tcPr>
          <w:p w14:paraId="6FAFB7FC">
            <w:pPr>
              <w:rPr>
                <w:sz w:val="20"/>
                <w:szCs w:val="20"/>
              </w:rPr>
            </w:pP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332341C">
            <w:pPr>
              <w:jc w:val="center"/>
              <w:rPr>
                <w:rFonts w:ascii="宋体" w:hAnsi="宋体" w:cs="宋体"/>
                <w:sz w:val="20"/>
                <w:szCs w:val="20"/>
              </w:rPr>
            </w:pPr>
            <w:r>
              <w:rPr>
                <w:rFonts w:hint="eastAsia"/>
                <w:sz w:val="20"/>
                <w:szCs w:val="20"/>
              </w:rPr>
              <w:t>资产处</w:t>
            </w:r>
          </w:p>
        </w:tc>
        <w:tc>
          <w:tcPr>
            <w:tcW w:w="699" w:type="pct"/>
            <w:vMerge w:val="continue"/>
            <w:tcBorders>
              <w:left w:val="nil"/>
              <w:right w:val="single" w:color="auto" w:sz="4" w:space="0"/>
            </w:tcBorders>
            <w:shd w:val="clear" w:color="auto" w:fill="auto"/>
            <w:tcMar>
              <w:top w:w="15" w:type="dxa"/>
              <w:left w:w="15" w:type="dxa"/>
              <w:bottom w:w="0" w:type="dxa"/>
              <w:right w:w="15" w:type="dxa"/>
            </w:tcMar>
            <w:vAlign w:val="center"/>
          </w:tcPr>
          <w:p w14:paraId="7805EFDC">
            <w:pPr>
              <w:jc w:val="center"/>
              <w:rPr>
                <w:sz w:val="20"/>
                <w:szCs w:val="20"/>
              </w:rPr>
            </w:pPr>
          </w:p>
        </w:tc>
        <w:tc>
          <w:tcPr>
            <w:tcW w:w="321" w:type="pct"/>
            <w:vMerge w:val="continue"/>
            <w:tcBorders>
              <w:top w:val="nil"/>
              <w:left w:val="single" w:color="auto" w:sz="4" w:space="0"/>
              <w:bottom w:val="single" w:color="auto" w:sz="4" w:space="0"/>
              <w:right w:val="single" w:color="auto" w:sz="4" w:space="0"/>
            </w:tcBorders>
            <w:vAlign w:val="center"/>
          </w:tcPr>
          <w:p w14:paraId="16CFB506">
            <w:pPr>
              <w:rPr>
                <w:sz w:val="24"/>
              </w:rPr>
            </w:pPr>
          </w:p>
        </w:tc>
      </w:tr>
      <w:tr w14:paraId="1249C2EE">
        <w:tblPrEx>
          <w:tblCellMar>
            <w:top w:w="0" w:type="dxa"/>
            <w:left w:w="0" w:type="dxa"/>
            <w:bottom w:w="0" w:type="dxa"/>
            <w:right w:w="0" w:type="dxa"/>
          </w:tblCellMar>
        </w:tblPrEx>
        <w:trPr>
          <w:trHeight w:val="642"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41ADA341">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3D5CC769">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B5AD5F8">
            <w:pPr>
              <w:jc w:val="left"/>
              <w:rPr>
                <w:sz w:val="20"/>
                <w:szCs w:val="20"/>
              </w:rPr>
            </w:pPr>
            <w:r>
              <w:rPr>
                <w:rFonts w:hint="eastAsia" w:ascii="仿宋_GB2312" w:eastAsia="仿宋_GB2312"/>
                <w:sz w:val="20"/>
                <w:szCs w:val="20"/>
              </w:rPr>
              <w:t>（</w:t>
            </w:r>
            <w:r>
              <w:rPr>
                <w:sz w:val="20"/>
                <w:szCs w:val="20"/>
              </w:rPr>
              <w:t>17</w:t>
            </w:r>
            <w:r>
              <w:rPr>
                <w:rFonts w:hint="eastAsia" w:ascii="仿宋_GB2312" w:eastAsia="仿宋_GB2312"/>
                <w:sz w:val="20"/>
                <w:szCs w:val="20"/>
              </w:rPr>
              <w:t>）校办企业资产、负债、国有资产保值增值等信息</w:t>
            </w:r>
          </w:p>
        </w:tc>
        <w:tc>
          <w:tcPr>
            <w:tcW w:w="1446" w:type="pct"/>
            <w:vMerge w:val="continue"/>
            <w:tcBorders>
              <w:top w:val="nil"/>
              <w:left w:val="single" w:color="auto" w:sz="4" w:space="0"/>
              <w:bottom w:val="single" w:color="000000" w:sz="4" w:space="0"/>
              <w:right w:val="single" w:color="auto" w:sz="4" w:space="0"/>
            </w:tcBorders>
            <w:vAlign w:val="center"/>
          </w:tcPr>
          <w:p w14:paraId="56CF683B">
            <w:pPr>
              <w:rPr>
                <w:sz w:val="20"/>
                <w:szCs w:val="20"/>
              </w:rPr>
            </w:pP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DDE70CE">
            <w:pPr>
              <w:jc w:val="center"/>
              <w:rPr>
                <w:rFonts w:ascii="宋体" w:hAnsi="宋体" w:cs="宋体"/>
                <w:sz w:val="20"/>
                <w:szCs w:val="20"/>
              </w:rPr>
            </w:pPr>
            <w:r>
              <w:rPr>
                <w:rFonts w:hint="eastAsia"/>
                <w:sz w:val="20"/>
                <w:szCs w:val="20"/>
              </w:rPr>
              <w:t>资产处</w:t>
            </w:r>
          </w:p>
        </w:tc>
        <w:tc>
          <w:tcPr>
            <w:tcW w:w="699" w:type="pct"/>
            <w:vMerge w:val="continue"/>
            <w:tcBorders>
              <w:left w:val="nil"/>
              <w:right w:val="single" w:color="auto" w:sz="4" w:space="0"/>
            </w:tcBorders>
            <w:shd w:val="clear" w:color="auto" w:fill="auto"/>
            <w:tcMar>
              <w:top w:w="15" w:type="dxa"/>
              <w:left w:w="15" w:type="dxa"/>
              <w:bottom w:w="0" w:type="dxa"/>
              <w:right w:w="15" w:type="dxa"/>
            </w:tcMar>
            <w:vAlign w:val="center"/>
          </w:tcPr>
          <w:p w14:paraId="099A72B8">
            <w:pPr>
              <w:jc w:val="center"/>
              <w:rPr>
                <w:sz w:val="20"/>
                <w:szCs w:val="20"/>
              </w:rPr>
            </w:pPr>
          </w:p>
        </w:tc>
        <w:tc>
          <w:tcPr>
            <w:tcW w:w="321" w:type="pct"/>
            <w:vMerge w:val="continue"/>
            <w:tcBorders>
              <w:top w:val="nil"/>
              <w:left w:val="single" w:color="auto" w:sz="4" w:space="0"/>
              <w:bottom w:val="single" w:color="auto" w:sz="4" w:space="0"/>
              <w:right w:val="single" w:color="auto" w:sz="4" w:space="0"/>
            </w:tcBorders>
            <w:vAlign w:val="center"/>
          </w:tcPr>
          <w:p w14:paraId="052FB545">
            <w:pPr>
              <w:rPr>
                <w:sz w:val="24"/>
              </w:rPr>
            </w:pPr>
          </w:p>
        </w:tc>
      </w:tr>
      <w:tr w14:paraId="58C8D417">
        <w:tblPrEx>
          <w:tblCellMar>
            <w:top w:w="0" w:type="dxa"/>
            <w:left w:w="0" w:type="dxa"/>
            <w:bottom w:w="0" w:type="dxa"/>
            <w:right w:w="0" w:type="dxa"/>
          </w:tblCellMar>
        </w:tblPrEx>
        <w:trPr>
          <w:trHeight w:val="642"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32C7D40B">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371E6A96">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4EBC600">
            <w:pPr>
              <w:jc w:val="left"/>
              <w:rPr>
                <w:sz w:val="20"/>
                <w:szCs w:val="20"/>
              </w:rPr>
            </w:pPr>
            <w:r>
              <w:rPr>
                <w:rFonts w:hint="eastAsia" w:ascii="仿宋_GB2312" w:eastAsia="仿宋_GB2312"/>
                <w:sz w:val="20"/>
                <w:szCs w:val="20"/>
              </w:rPr>
              <w:t>（</w:t>
            </w:r>
            <w:r>
              <w:rPr>
                <w:sz w:val="20"/>
                <w:szCs w:val="20"/>
              </w:rPr>
              <w:t>18</w:t>
            </w:r>
            <w:r>
              <w:rPr>
                <w:rFonts w:hint="eastAsia" w:ascii="仿宋_GB2312" w:eastAsia="仿宋_GB2312"/>
                <w:sz w:val="20"/>
                <w:szCs w:val="20"/>
              </w:rPr>
              <w:t>）仪器设备、图书、药品等物资设备采购和重大基建工程的招投标</w:t>
            </w:r>
          </w:p>
        </w:tc>
        <w:tc>
          <w:tcPr>
            <w:tcW w:w="1446" w:type="pct"/>
            <w:vMerge w:val="continue"/>
            <w:tcBorders>
              <w:top w:val="nil"/>
              <w:left w:val="single" w:color="auto" w:sz="4" w:space="0"/>
              <w:bottom w:val="single" w:color="000000" w:sz="4" w:space="0"/>
              <w:right w:val="single" w:color="auto" w:sz="4" w:space="0"/>
            </w:tcBorders>
            <w:vAlign w:val="center"/>
          </w:tcPr>
          <w:p w14:paraId="0417A8BF">
            <w:pPr>
              <w:rPr>
                <w:sz w:val="20"/>
                <w:szCs w:val="20"/>
              </w:rPr>
            </w:pP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AB16A73">
            <w:pPr>
              <w:jc w:val="center"/>
              <w:rPr>
                <w:rFonts w:ascii="宋体" w:hAnsi="宋体" w:cs="宋体"/>
                <w:sz w:val="20"/>
                <w:szCs w:val="20"/>
              </w:rPr>
            </w:pPr>
            <w:r>
              <w:rPr>
                <w:rFonts w:hint="eastAsia"/>
                <w:sz w:val="20"/>
                <w:szCs w:val="20"/>
              </w:rPr>
              <w:t>资产处</w:t>
            </w:r>
          </w:p>
        </w:tc>
        <w:tc>
          <w:tcPr>
            <w:tcW w:w="699" w:type="pct"/>
            <w:vMerge w:val="continue"/>
            <w:tcBorders>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34D870F">
            <w:pPr>
              <w:jc w:val="center"/>
              <w:rPr>
                <w:sz w:val="20"/>
                <w:szCs w:val="20"/>
              </w:rPr>
            </w:pPr>
          </w:p>
        </w:tc>
        <w:tc>
          <w:tcPr>
            <w:tcW w:w="321" w:type="pct"/>
            <w:vMerge w:val="continue"/>
            <w:tcBorders>
              <w:top w:val="nil"/>
              <w:left w:val="single" w:color="auto" w:sz="4" w:space="0"/>
              <w:bottom w:val="single" w:color="auto" w:sz="4" w:space="0"/>
              <w:right w:val="single" w:color="auto" w:sz="4" w:space="0"/>
            </w:tcBorders>
            <w:vAlign w:val="center"/>
          </w:tcPr>
          <w:p w14:paraId="704316A6">
            <w:pPr>
              <w:rPr>
                <w:sz w:val="24"/>
              </w:rPr>
            </w:pPr>
          </w:p>
        </w:tc>
      </w:tr>
      <w:tr w14:paraId="0799B3CE">
        <w:tblPrEx>
          <w:tblCellMar>
            <w:top w:w="0" w:type="dxa"/>
            <w:left w:w="0" w:type="dxa"/>
            <w:bottom w:w="0" w:type="dxa"/>
            <w:right w:w="0" w:type="dxa"/>
          </w:tblCellMar>
        </w:tblPrEx>
        <w:trPr>
          <w:trHeight w:val="1140"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2B7D64E0">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0493BC25">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2A597F5">
            <w:pPr>
              <w:jc w:val="left"/>
              <w:rPr>
                <w:sz w:val="20"/>
                <w:szCs w:val="20"/>
              </w:rPr>
            </w:pPr>
            <w:r>
              <w:rPr>
                <w:rFonts w:hint="eastAsia" w:ascii="仿宋_GB2312" w:eastAsia="仿宋_GB2312"/>
                <w:sz w:val="20"/>
                <w:szCs w:val="20"/>
              </w:rPr>
              <w:t>（</w:t>
            </w:r>
            <w:r>
              <w:rPr>
                <w:sz w:val="20"/>
                <w:szCs w:val="20"/>
              </w:rPr>
              <w:t>19</w:t>
            </w:r>
            <w:r>
              <w:rPr>
                <w:rFonts w:hint="eastAsia" w:ascii="仿宋_GB2312" w:eastAsia="仿宋_GB2312"/>
                <w:sz w:val="20"/>
                <w:szCs w:val="20"/>
              </w:rPr>
              <w:t>）收支预算总表、收入预算表、支出预算表、财政拨款支出预算表</w:t>
            </w:r>
          </w:p>
        </w:tc>
        <w:tc>
          <w:tcPr>
            <w:tcW w:w="1446"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5C3548B">
            <w:pPr>
              <w:rPr>
                <w:rFonts w:ascii="仿宋_GB2312" w:eastAsia="仿宋_GB2312"/>
                <w:sz w:val="20"/>
                <w:szCs w:val="20"/>
              </w:rPr>
            </w:pPr>
            <w:r>
              <w:rPr>
                <w:rFonts w:hint="eastAsia" w:ascii="仿宋_GB2312" w:eastAsia="仿宋_GB2312"/>
                <w:sz w:val="20"/>
                <w:szCs w:val="20"/>
              </w:rPr>
              <w:t>《国务院办公厅关于印发当前政府信息公开重点工作安排的通知》（国办发〔</w:t>
            </w:r>
            <w:r>
              <w:rPr>
                <w:sz w:val="20"/>
                <w:szCs w:val="20"/>
              </w:rPr>
              <w:t>2013</w:t>
            </w:r>
            <w:r>
              <w:rPr>
                <w:rFonts w:hint="eastAsia" w:ascii="仿宋_GB2312" w:eastAsia="仿宋_GB2312"/>
                <w:sz w:val="20"/>
                <w:szCs w:val="20"/>
              </w:rPr>
              <w:t>〕</w:t>
            </w:r>
            <w:r>
              <w:rPr>
                <w:sz w:val="20"/>
                <w:szCs w:val="20"/>
              </w:rPr>
              <w:t>73</w:t>
            </w:r>
            <w:r>
              <w:rPr>
                <w:rFonts w:hint="eastAsia" w:ascii="仿宋_GB2312" w:eastAsia="仿宋_GB2312"/>
                <w:sz w:val="20"/>
                <w:szCs w:val="20"/>
              </w:rPr>
              <w:t>号）</w:t>
            </w:r>
          </w:p>
          <w:p w14:paraId="018F175D">
            <w:pPr>
              <w:rPr>
                <w:rFonts w:ascii="仿宋_GB2312" w:eastAsia="仿宋_GB2312"/>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p>
          <w:p w14:paraId="69800D78">
            <w:pPr>
              <w:rPr>
                <w:rFonts w:ascii="仿宋_GB2312" w:eastAsia="仿宋_GB2312"/>
                <w:sz w:val="20"/>
                <w:szCs w:val="20"/>
              </w:rPr>
            </w:pPr>
            <w:r>
              <w:rPr>
                <w:rFonts w:hint="eastAsia" w:ascii="仿宋_GB2312" w:eastAsia="仿宋_GB2312"/>
                <w:sz w:val="20"/>
                <w:szCs w:val="20"/>
              </w:rPr>
              <w:t>《教育部关于做好高等学校财务信息公开工作的通知》（教财〔</w:t>
            </w:r>
            <w:r>
              <w:rPr>
                <w:sz w:val="20"/>
                <w:szCs w:val="20"/>
              </w:rPr>
              <w:t>2012</w:t>
            </w:r>
            <w:r>
              <w:rPr>
                <w:rFonts w:hint="eastAsia" w:ascii="仿宋_GB2312" w:eastAsia="仿宋_GB2312"/>
                <w:sz w:val="20"/>
                <w:szCs w:val="20"/>
              </w:rPr>
              <w:t>〕</w:t>
            </w:r>
            <w:r>
              <w:rPr>
                <w:sz w:val="20"/>
                <w:szCs w:val="20"/>
              </w:rPr>
              <w:t>4</w:t>
            </w:r>
            <w:r>
              <w:rPr>
                <w:rFonts w:hint="eastAsia" w:ascii="仿宋_GB2312" w:eastAsia="仿宋_GB2312"/>
                <w:sz w:val="20"/>
                <w:szCs w:val="20"/>
              </w:rPr>
              <w:t>号）</w:t>
            </w:r>
          </w:p>
          <w:p w14:paraId="7091A7C2">
            <w:pPr>
              <w:rPr>
                <w:sz w:val="20"/>
                <w:szCs w:val="20"/>
              </w:rPr>
            </w:pPr>
            <w:r>
              <w:rPr>
                <w:rFonts w:hint="eastAsia" w:ascii="仿宋_GB2312" w:eastAsia="仿宋_GB2312"/>
                <w:sz w:val="20"/>
                <w:szCs w:val="20"/>
              </w:rPr>
              <w:t>《教育部关于进一步做好高等学校财务信息公开工作的通知》（教财函〔</w:t>
            </w:r>
            <w:r>
              <w:rPr>
                <w:sz w:val="20"/>
                <w:szCs w:val="20"/>
              </w:rPr>
              <w:t>2013</w:t>
            </w:r>
            <w:r>
              <w:rPr>
                <w:rFonts w:hint="eastAsia" w:ascii="仿宋_GB2312" w:eastAsia="仿宋_GB2312"/>
                <w:sz w:val="20"/>
                <w:szCs w:val="20"/>
              </w:rPr>
              <w:t>〕</w:t>
            </w:r>
            <w:r>
              <w:rPr>
                <w:sz w:val="20"/>
                <w:szCs w:val="20"/>
              </w:rPr>
              <w:t>96</w:t>
            </w:r>
            <w:r>
              <w:rPr>
                <w:rFonts w:hint="eastAsia" w:ascii="仿宋_GB2312" w:eastAsia="仿宋_GB2312"/>
                <w:sz w:val="20"/>
                <w:szCs w:val="20"/>
              </w:rPr>
              <w:t>号）</w:t>
            </w:r>
          </w:p>
        </w:tc>
        <w:tc>
          <w:tcPr>
            <w:tcW w:w="558"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1EDDA9C0">
            <w:pPr>
              <w:jc w:val="center"/>
              <w:rPr>
                <w:rFonts w:ascii="宋体" w:hAnsi="宋体" w:cs="宋体"/>
                <w:sz w:val="20"/>
                <w:szCs w:val="20"/>
              </w:rPr>
            </w:pPr>
            <w:r>
              <w:rPr>
                <w:rFonts w:hint="eastAsia"/>
                <w:sz w:val="20"/>
                <w:szCs w:val="20"/>
              </w:rPr>
              <w:t>财务处</w:t>
            </w:r>
          </w:p>
        </w:tc>
        <w:tc>
          <w:tcPr>
            <w:tcW w:w="699" w:type="pct"/>
            <w:vMerge w:val="restart"/>
            <w:tcBorders>
              <w:top w:val="nil"/>
              <w:left w:val="single" w:color="auto" w:sz="4" w:space="0"/>
              <w:right w:val="single" w:color="auto" w:sz="4" w:space="0"/>
            </w:tcBorders>
            <w:shd w:val="clear" w:color="auto" w:fill="auto"/>
            <w:tcMar>
              <w:top w:w="15" w:type="dxa"/>
              <w:left w:w="15" w:type="dxa"/>
              <w:bottom w:w="0" w:type="dxa"/>
              <w:right w:w="15" w:type="dxa"/>
            </w:tcMar>
            <w:vAlign w:val="center"/>
          </w:tcPr>
          <w:p w14:paraId="38C5F05C">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1CA2C973">
            <w:pPr>
              <w:jc w:val="center"/>
              <w:rPr>
                <w:sz w:val="20"/>
                <w:szCs w:val="20"/>
              </w:rPr>
            </w:pPr>
            <w:r>
              <w:rPr>
                <w:sz w:val="20"/>
                <w:szCs w:val="20"/>
              </w:rPr>
              <w:t>http://crp.tsgzy.edu.cn/oa/Index.aspx</w:t>
            </w:r>
          </w:p>
        </w:tc>
        <w:tc>
          <w:tcPr>
            <w:tcW w:w="321" w:type="pct"/>
            <w:vMerge w:val="continue"/>
            <w:tcBorders>
              <w:top w:val="nil"/>
              <w:left w:val="single" w:color="auto" w:sz="4" w:space="0"/>
              <w:bottom w:val="single" w:color="auto" w:sz="4" w:space="0"/>
              <w:right w:val="single" w:color="auto" w:sz="4" w:space="0"/>
            </w:tcBorders>
            <w:vAlign w:val="center"/>
          </w:tcPr>
          <w:p w14:paraId="2C16F3F4">
            <w:pPr>
              <w:rPr>
                <w:sz w:val="24"/>
              </w:rPr>
            </w:pPr>
          </w:p>
        </w:tc>
      </w:tr>
      <w:tr w14:paraId="4C72890B">
        <w:tblPrEx>
          <w:tblCellMar>
            <w:top w:w="0" w:type="dxa"/>
            <w:left w:w="0" w:type="dxa"/>
            <w:bottom w:w="0" w:type="dxa"/>
            <w:right w:w="0" w:type="dxa"/>
          </w:tblCellMar>
        </w:tblPrEx>
        <w:trPr>
          <w:trHeight w:val="1065"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2E93A959">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71D4880E">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174814B">
            <w:pPr>
              <w:jc w:val="left"/>
              <w:rPr>
                <w:sz w:val="20"/>
                <w:szCs w:val="20"/>
              </w:rPr>
            </w:pPr>
            <w:r>
              <w:rPr>
                <w:rFonts w:hint="eastAsia" w:ascii="仿宋_GB2312" w:eastAsia="仿宋_GB2312"/>
                <w:sz w:val="20"/>
                <w:szCs w:val="20"/>
              </w:rPr>
              <w:t>（</w:t>
            </w:r>
            <w:r>
              <w:rPr>
                <w:sz w:val="20"/>
                <w:szCs w:val="20"/>
              </w:rPr>
              <w:t>20</w:t>
            </w:r>
            <w:r>
              <w:rPr>
                <w:rFonts w:hint="eastAsia" w:ascii="仿宋_GB2312" w:eastAsia="仿宋_GB2312"/>
                <w:sz w:val="20"/>
                <w:szCs w:val="20"/>
              </w:rPr>
              <w:t>）收支决算总表、收入决算表、支出决算表、财政拨款支出决算表</w:t>
            </w:r>
          </w:p>
        </w:tc>
        <w:tc>
          <w:tcPr>
            <w:tcW w:w="1446" w:type="pct"/>
            <w:vMerge w:val="continue"/>
            <w:tcBorders>
              <w:top w:val="nil"/>
              <w:left w:val="single" w:color="auto" w:sz="4" w:space="0"/>
              <w:bottom w:val="single" w:color="auto" w:sz="4" w:space="0"/>
              <w:right w:val="single" w:color="auto" w:sz="4" w:space="0"/>
            </w:tcBorders>
            <w:vAlign w:val="center"/>
          </w:tcPr>
          <w:p w14:paraId="6D90C5A1">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65FA91D8">
            <w:pPr>
              <w:rPr>
                <w:rFonts w:ascii="宋体" w:hAnsi="宋体" w:cs="宋体"/>
                <w:sz w:val="20"/>
                <w:szCs w:val="20"/>
              </w:rPr>
            </w:pPr>
          </w:p>
        </w:tc>
        <w:tc>
          <w:tcPr>
            <w:tcW w:w="699" w:type="pct"/>
            <w:vMerge w:val="continue"/>
            <w:tcBorders>
              <w:left w:val="single" w:color="auto" w:sz="4" w:space="0"/>
              <w:right w:val="single" w:color="auto" w:sz="4" w:space="0"/>
            </w:tcBorders>
            <w:vAlign w:val="center"/>
          </w:tcPr>
          <w:p w14:paraId="58BA0779">
            <w:pPr>
              <w:jc w:val="center"/>
              <w:rPr>
                <w:sz w:val="20"/>
                <w:szCs w:val="20"/>
              </w:rPr>
            </w:pPr>
          </w:p>
        </w:tc>
        <w:tc>
          <w:tcPr>
            <w:tcW w:w="321" w:type="pct"/>
            <w:vMerge w:val="continue"/>
            <w:tcBorders>
              <w:top w:val="nil"/>
              <w:left w:val="single" w:color="auto" w:sz="4" w:space="0"/>
              <w:bottom w:val="single" w:color="auto" w:sz="4" w:space="0"/>
              <w:right w:val="single" w:color="auto" w:sz="4" w:space="0"/>
            </w:tcBorders>
            <w:vAlign w:val="center"/>
          </w:tcPr>
          <w:p w14:paraId="73BD9E65">
            <w:pPr>
              <w:rPr>
                <w:sz w:val="24"/>
              </w:rPr>
            </w:pPr>
          </w:p>
        </w:tc>
      </w:tr>
      <w:tr w14:paraId="73FA8CF6">
        <w:tblPrEx>
          <w:tblCellMar>
            <w:top w:w="0" w:type="dxa"/>
            <w:left w:w="0" w:type="dxa"/>
            <w:bottom w:w="0" w:type="dxa"/>
            <w:right w:w="0" w:type="dxa"/>
          </w:tblCellMar>
        </w:tblPrEx>
        <w:trPr>
          <w:trHeight w:val="540"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61004AAE">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633DCD53">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4FADA5E">
            <w:pPr>
              <w:rPr>
                <w:sz w:val="20"/>
                <w:szCs w:val="20"/>
              </w:rPr>
            </w:pPr>
            <w:r>
              <w:rPr>
                <w:rFonts w:hint="eastAsia" w:ascii="仿宋_GB2312" w:eastAsia="仿宋_GB2312"/>
                <w:sz w:val="20"/>
                <w:szCs w:val="20"/>
              </w:rPr>
              <w:t>（</w:t>
            </w:r>
            <w:r>
              <w:rPr>
                <w:sz w:val="20"/>
                <w:szCs w:val="20"/>
              </w:rPr>
              <w:t>21</w:t>
            </w:r>
            <w:r>
              <w:rPr>
                <w:rFonts w:hint="eastAsia" w:ascii="仿宋_GB2312" w:eastAsia="仿宋_GB2312"/>
                <w:sz w:val="20"/>
                <w:szCs w:val="20"/>
              </w:rPr>
              <w:t>）收费项目、收费依据、收费标准及投诉方式</w:t>
            </w:r>
          </w:p>
        </w:tc>
        <w:tc>
          <w:tcPr>
            <w:tcW w:w="1446"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6983399">
            <w:pPr>
              <w:rPr>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r>
              <w:rPr>
                <w:sz w:val="20"/>
                <w:szCs w:val="20"/>
              </w:rPr>
              <w:t xml:space="preserve"> </w:t>
            </w:r>
          </w:p>
        </w:tc>
        <w:tc>
          <w:tcPr>
            <w:tcW w:w="558" w:type="pct"/>
            <w:vMerge w:val="continue"/>
            <w:tcBorders>
              <w:top w:val="nil"/>
              <w:left w:val="single" w:color="auto" w:sz="4" w:space="0"/>
              <w:bottom w:val="single" w:color="000000" w:sz="4" w:space="0"/>
              <w:right w:val="single" w:color="auto" w:sz="4" w:space="0"/>
            </w:tcBorders>
            <w:vAlign w:val="center"/>
          </w:tcPr>
          <w:p w14:paraId="08003A32">
            <w:pPr>
              <w:rPr>
                <w:rFonts w:ascii="宋体" w:hAnsi="宋体" w:cs="宋体"/>
                <w:sz w:val="20"/>
                <w:szCs w:val="20"/>
              </w:rPr>
            </w:pPr>
          </w:p>
        </w:tc>
        <w:tc>
          <w:tcPr>
            <w:tcW w:w="699" w:type="pct"/>
            <w:vMerge w:val="continue"/>
            <w:tcBorders>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BC539D4">
            <w:pPr>
              <w:jc w:val="center"/>
              <w:rPr>
                <w:sz w:val="20"/>
                <w:szCs w:val="20"/>
              </w:rPr>
            </w:pPr>
          </w:p>
        </w:tc>
        <w:tc>
          <w:tcPr>
            <w:tcW w:w="321" w:type="pct"/>
            <w:vMerge w:val="continue"/>
            <w:tcBorders>
              <w:top w:val="nil"/>
              <w:left w:val="single" w:color="auto" w:sz="4" w:space="0"/>
              <w:bottom w:val="single" w:color="auto" w:sz="4" w:space="0"/>
              <w:right w:val="single" w:color="auto" w:sz="4" w:space="0"/>
            </w:tcBorders>
            <w:vAlign w:val="center"/>
          </w:tcPr>
          <w:p w14:paraId="28482D32">
            <w:pPr>
              <w:rPr>
                <w:sz w:val="24"/>
              </w:rPr>
            </w:pPr>
          </w:p>
        </w:tc>
      </w:tr>
      <w:tr w14:paraId="6B661429">
        <w:tblPrEx>
          <w:tblCellMar>
            <w:top w:w="0" w:type="dxa"/>
            <w:left w:w="0" w:type="dxa"/>
            <w:bottom w:w="0" w:type="dxa"/>
            <w:right w:w="0" w:type="dxa"/>
          </w:tblCellMar>
        </w:tblPrEx>
        <w:trPr>
          <w:trHeight w:val="1005" w:hRule="atLeast"/>
          <w:jc w:val="center"/>
        </w:trPr>
        <w:tc>
          <w:tcPr>
            <w:tcW w:w="150"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6DFEA33D">
            <w:pPr>
              <w:jc w:val="center"/>
              <w:rPr>
                <w:sz w:val="20"/>
                <w:szCs w:val="20"/>
              </w:rPr>
            </w:pPr>
            <w:r>
              <w:rPr>
                <w:sz w:val="20"/>
                <w:szCs w:val="20"/>
              </w:rPr>
              <w:t>4</w:t>
            </w:r>
          </w:p>
        </w:tc>
        <w:tc>
          <w:tcPr>
            <w:tcW w:w="375"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5CC94E53">
            <w:pPr>
              <w:jc w:val="center"/>
              <w:rPr>
                <w:rFonts w:ascii="仿宋_GB2312" w:eastAsia="仿宋_GB2312"/>
                <w:sz w:val="20"/>
                <w:szCs w:val="20"/>
              </w:rPr>
            </w:pPr>
            <w:r>
              <w:rPr>
                <w:rFonts w:hint="eastAsia" w:ascii="仿宋_GB2312" w:eastAsia="仿宋_GB2312"/>
                <w:sz w:val="20"/>
                <w:szCs w:val="20"/>
              </w:rPr>
              <w:t>人事师资信息</w:t>
            </w:r>
          </w:p>
          <w:p w14:paraId="31CEA709">
            <w:pPr>
              <w:jc w:val="center"/>
              <w:rPr>
                <w:rFonts w:ascii="仿宋_GB2312" w:eastAsia="仿宋_GB2312"/>
                <w:sz w:val="20"/>
                <w:szCs w:val="20"/>
              </w:rPr>
            </w:pPr>
          </w:p>
          <w:p w14:paraId="5FEAD8C9">
            <w:pPr>
              <w:jc w:val="center"/>
              <w:rPr>
                <w:sz w:val="20"/>
                <w:szCs w:val="20"/>
              </w:rPr>
            </w:pPr>
            <w:r>
              <w:rPr>
                <w:rFonts w:hint="eastAsia" w:ascii="仿宋_GB2312" w:eastAsia="仿宋_GB2312"/>
                <w:sz w:val="20"/>
                <w:szCs w:val="20"/>
              </w:rPr>
              <w:t>（</w:t>
            </w:r>
            <w:r>
              <w:rPr>
                <w:sz w:val="20"/>
                <w:szCs w:val="20"/>
              </w:rPr>
              <w:t>5</w:t>
            </w:r>
            <w:r>
              <w:rPr>
                <w:rFonts w:hint="eastAsia" w:ascii="仿宋_GB2312" w:eastAsia="仿宋_GB2312"/>
                <w:sz w:val="20"/>
                <w:szCs w:val="20"/>
              </w:rPr>
              <w:t>项）</w:t>
            </w: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F8B9306">
            <w:pPr>
              <w:jc w:val="left"/>
              <w:rPr>
                <w:sz w:val="20"/>
                <w:szCs w:val="20"/>
              </w:rPr>
            </w:pPr>
            <w:r>
              <w:rPr>
                <w:rFonts w:hint="eastAsia" w:ascii="仿宋_GB2312" w:eastAsia="仿宋_GB2312"/>
                <w:sz w:val="20"/>
                <w:szCs w:val="20"/>
              </w:rPr>
              <w:t>（</w:t>
            </w:r>
            <w:r>
              <w:rPr>
                <w:sz w:val="20"/>
                <w:szCs w:val="20"/>
              </w:rPr>
              <w:t>22</w:t>
            </w:r>
            <w:r>
              <w:rPr>
                <w:rFonts w:hint="eastAsia" w:ascii="仿宋_GB2312" w:eastAsia="仿宋_GB2312"/>
                <w:sz w:val="20"/>
                <w:szCs w:val="20"/>
              </w:rPr>
              <w:t>）校级领导干部社会兼职情况</w:t>
            </w:r>
          </w:p>
        </w:tc>
        <w:tc>
          <w:tcPr>
            <w:tcW w:w="1446"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38943E9F">
            <w:pPr>
              <w:rPr>
                <w:rFonts w:ascii="仿宋_GB2312" w:eastAsia="仿宋_GB2312"/>
                <w:sz w:val="20"/>
                <w:szCs w:val="20"/>
              </w:rPr>
            </w:pPr>
            <w:r>
              <w:rPr>
                <w:rFonts w:hint="eastAsia" w:ascii="仿宋_GB2312" w:eastAsia="仿宋_GB2312"/>
                <w:sz w:val="20"/>
                <w:szCs w:val="20"/>
              </w:rPr>
              <w:t>《中共教育部党组关于进一步加强直属高校学校领导班子建设的若干意见》（教党〔</w:t>
            </w:r>
            <w:r>
              <w:rPr>
                <w:sz w:val="20"/>
                <w:szCs w:val="20"/>
              </w:rPr>
              <w:t>2013</w:t>
            </w:r>
            <w:r>
              <w:rPr>
                <w:rFonts w:hint="eastAsia" w:ascii="仿宋_GB2312" w:eastAsia="仿宋_GB2312"/>
                <w:sz w:val="20"/>
                <w:szCs w:val="20"/>
              </w:rPr>
              <w:t>〕</w:t>
            </w:r>
            <w:r>
              <w:rPr>
                <w:sz w:val="20"/>
                <w:szCs w:val="20"/>
              </w:rPr>
              <w:t>39</w:t>
            </w:r>
            <w:r>
              <w:rPr>
                <w:rFonts w:hint="eastAsia" w:ascii="仿宋_GB2312" w:eastAsia="仿宋_GB2312"/>
                <w:sz w:val="20"/>
                <w:szCs w:val="20"/>
              </w:rPr>
              <w:t>号）</w:t>
            </w:r>
          </w:p>
          <w:p w14:paraId="2A3333C1">
            <w:pPr>
              <w:rPr>
                <w:sz w:val="20"/>
                <w:szCs w:val="20"/>
              </w:rPr>
            </w:pPr>
            <w:r>
              <w:rPr>
                <w:rFonts w:hint="eastAsia" w:ascii="仿宋_GB2312" w:eastAsia="仿宋_GB2312"/>
                <w:sz w:val="20"/>
                <w:szCs w:val="20"/>
              </w:rPr>
              <w:t>《中共教育部党组关于进一步加强直属高校党员领导干部兼职管理的通知》（教党〔</w:t>
            </w:r>
            <w:r>
              <w:rPr>
                <w:sz w:val="20"/>
                <w:szCs w:val="20"/>
              </w:rPr>
              <w:t>2011</w:t>
            </w:r>
            <w:r>
              <w:rPr>
                <w:rFonts w:hint="eastAsia" w:ascii="仿宋_GB2312" w:eastAsia="仿宋_GB2312"/>
                <w:sz w:val="20"/>
                <w:szCs w:val="20"/>
              </w:rPr>
              <w:t>〕</w:t>
            </w:r>
            <w:r>
              <w:rPr>
                <w:sz w:val="20"/>
                <w:szCs w:val="20"/>
              </w:rPr>
              <w:t>22</w:t>
            </w:r>
            <w:r>
              <w:rPr>
                <w:rFonts w:hint="eastAsia" w:ascii="仿宋_GB2312" w:eastAsia="仿宋_GB2312"/>
                <w:sz w:val="20"/>
                <w:szCs w:val="20"/>
              </w:rPr>
              <w:t>号）</w:t>
            </w:r>
          </w:p>
        </w:tc>
        <w:tc>
          <w:tcPr>
            <w:tcW w:w="558"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09552C5D">
            <w:pPr>
              <w:jc w:val="center"/>
              <w:rPr>
                <w:rFonts w:ascii="宋体" w:hAnsi="宋体" w:cs="宋体"/>
                <w:sz w:val="20"/>
                <w:szCs w:val="20"/>
              </w:rPr>
            </w:pPr>
            <w:r>
              <w:rPr>
                <w:rFonts w:hint="eastAsia"/>
                <w:sz w:val="20"/>
                <w:szCs w:val="20"/>
              </w:rPr>
              <w:t>组织部、人事处</w:t>
            </w:r>
          </w:p>
        </w:tc>
        <w:tc>
          <w:tcPr>
            <w:tcW w:w="699" w:type="pc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3939692">
            <w:pPr>
              <w:jc w:val="center"/>
              <w:rPr>
                <w:sz w:val="20"/>
                <w:szCs w:val="20"/>
              </w:rPr>
            </w:pPr>
            <w:r>
              <w:rPr>
                <w:rFonts w:hint="eastAsia"/>
                <w:sz w:val="20"/>
                <w:szCs w:val="20"/>
                <w:lang w:eastAsia="zh-CN"/>
              </w:rPr>
              <w:t>唐山工业职业技术大学</w:t>
            </w:r>
            <w:r>
              <w:rPr>
                <w:rFonts w:hint="eastAsia"/>
                <w:sz w:val="20"/>
                <w:szCs w:val="20"/>
              </w:rPr>
              <w:t>官方</w:t>
            </w:r>
            <w:r>
              <w:rPr>
                <w:sz w:val="20"/>
                <w:szCs w:val="20"/>
              </w:rPr>
              <w:t>网站http://www.tsgzy.edu.cn/</w:t>
            </w:r>
          </w:p>
        </w:tc>
        <w:tc>
          <w:tcPr>
            <w:tcW w:w="321"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70042E03">
            <w:pPr>
              <w:jc w:val="center"/>
              <w:rPr>
                <w:sz w:val="24"/>
              </w:rPr>
            </w:pPr>
            <w:r>
              <w:rPr>
                <w:rFonts w:hint="eastAsia"/>
              </w:rPr>
              <w:t>202</w:t>
            </w:r>
            <w:r>
              <w:rPr>
                <w:rFonts w:hint="eastAsia"/>
                <w:lang w:val="en-US" w:eastAsia="zh-CN"/>
              </w:rPr>
              <w:t>5</w:t>
            </w:r>
            <w:r>
              <w:t>.8.31</w:t>
            </w:r>
          </w:p>
        </w:tc>
      </w:tr>
      <w:tr w14:paraId="1C4B5B08">
        <w:tblPrEx>
          <w:tblCellMar>
            <w:top w:w="0" w:type="dxa"/>
            <w:left w:w="0" w:type="dxa"/>
            <w:bottom w:w="0" w:type="dxa"/>
            <w:right w:w="0" w:type="dxa"/>
          </w:tblCellMar>
        </w:tblPrEx>
        <w:trPr>
          <w:trHeight w:val="840"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46205876">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61EE928A">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87892A6">
            <w:pPr>
              <w:jc w:val="left"/>
              <w:rPr>
                <w:sz w:val="20"/>
                <w:szCs w:val="20"/>
              </w:rPr>
            </w:pPr>
            <w:r>
              <w:rPr>
                <w:rFonts w:hint="eastAsia" w:ascii="仿宋_GB2312" w:eastAsia="仿宋_GB2312"/>
                <w:sz w:val="20"/>
                <w:szCs w:val="20"/>
              </w:rPr>
              <w:t>（</w:t>
            </w:r>
            <w:r>
              <w:rPr>
                <w:sz w:val="20"/>
                <w:szCs w:val="20"/>
              </w:rPr>
              <w:t>23</w:t>
            </w:r>
            <w:r>
              <w:rPr>
                <w:rFonts w:hint="eastAsia" w:ascii="仿宋_GB2312" w:eastAsia="仿宋_GB2312"/>
                <w:sz w:val="20"/>
                <w:szCs w:val="20"/>
              </w:rPr>
              <w:t>）校级领导干部因公出国（境）情况</w:t>
            </w:r>
          </w:p>
        </w:tc>
        <w:tc>
          <w:tcPr>
            <w:tcW w:w="1446" w:type="pct"/>
            <w:vMerge w:val="continue"/>
            <w:tcBorders>
              <w:top w:val="nil"/>
              <w:left w:val="single" w:color="auto" w:sz="4" w:space="0"/>
              <w:bottom w:val="single" w:color="000000" w:sz="4" w:space="0"/>
              <w:right w:val="single" w:color="auto" w:sz="4" w:space="0"/>
            </w:tcBorders>
            <w:vAlign w:val="center"/>
          </w:tcPr>
          <w:p w14:paraId="649EADF7">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3684B765">
            <w:pPr>
              <w:rPr>
                <w:rFonts w:ascii="宋体" w:hAnsi="宋体" w:cs="宋体"/>
                <w:sz w:val="20"/>
                <w:szCs w:val="20"/>
              </w:rPr>
            </w:pPr>
          </w:p>
        </w:tc>
        <w:tc>
          <w:tcPr>
            <w:tcW w:w="699" w:type="pct"/>
            <w:tcBorders>
              <w:top w:val="single" w:color="auto" w:sz="4" w:space="0"/>
              <w:left w:val="single" w:color="auto" w:sz="4" w:space="0"/>
              <w:bottom w:val="single" w:color="auto" w:sz="4" w:space="0"/>
              <w:right w:val="single" w:color="auto" w:sz="4" w:space="0"/>
            </w:tcBorders>
            <w:shd w:val="clear" w:color="auto" w:fill="auto"/>
            <w:vAlign w:val="center"/>
          </w:tcPr>
          <w:p w14:paraId="1C7C6F4A">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6CC63C4D">
            <w:pPr>
              <w:jc w:val="center"/>
              <w:rPr>
                <w:sz w:val="20"/>
                <w:szCs w:val="20"/>
              </w:rPr>
            </w:pPr>
            <w:r>
              <w:rPr>
                <w:sz w:val="20"/>
                <w:szCs w:val="20"/>
              </w:rPr>
              <w:t>http://crp.tsgzy.edu.cn/oa/Index.aspx</w:t>
            </w:r>
          </w:p>
        </w:tc>
        <w:tc>
          <w:tcPr>
            <w:tcW w:w="321" w:type="pct"/>
            <w:vMerge w:val="continue"/>
            <w:tcBorders>
              <w:top w:val="nil"/>
              <w:left w:val="single" w:color="auto" w:sz="4" w:space="0"/>
              <w:bottom w:val="single" w:color="000000" w:sz="4" w:space="0"/>
              <w:right w:val="single" w:color="auto" w:sz="4" w:space="0"/>
            </w:tcBorders>
            <w:vAlign w:val="center"/>
          </w:tcPr>
          <w:p w14:paraId="0C044EB0">
            <w:pPr>
              <w:rPr>
                <w:sz w:val="24"/>
              </w:rPr>
            </w:pPr>
          </w:p>
        </w:tc>
      </w:tr>
      <w:tr w14:paraId="6AF0D691">
        <w:tblPrEx>
          <w:tblCellMar>
            <w:top w:w="0" w:type="dxa"/>
            <w:left w:w="0" w:type="dxa"/>
            <w:bottom w:w="0" w:type="dxa"/>
            <w:right w:w="0" w:type="dxa"/>
          </w:tblCellMar>
        </w:tblPrEx>
        <w:trPr>
          <w:trHeight w:val="480"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11EFF203">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3D242818">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F22F3BE">
            <w:pPr>
              <w:rPr>
                <w:sz w:val="20"/>
                <w:szCs w:val="20"/>
              </w:rPr>
            </w:pPr>
            <w:r>
              <w:rPr>
                <w:rFonts w:hint="eastAsia" w:ascii="仿宋_GB2312" w:eastAsia="仿宋_GB2312"/>
                <w:sz w:val="20"/>
                <w:szCs w:val="20"/>
              </w:rPr>
              <w:t>（</w:t>
            </w:r>
            <w:r>
              <w:rPr>
                <w:sz w:val="20"/>
                <w:szCs w:val="20"/>
              </w:rPr>
              <w:t>24</w:t>
            </w:r>
            <w:r>
              <w:rPr>
                <w:rFonts w:hint="eastAsia" w:ascii="仿宋_GB2312" w:eastAsia="仿宋_GB2312"/>
                <w:sz w:val="20"/>
                <w:szCs w:val="20"/>
              </w:rPr>
              <w:t>）岗位设置管理与聘用办法</w:t>
            </w:r>
          </w:p>
        </w:tc>
        <w:tc>
          <w:tcPr>
            <w:tcW w:w="1446"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6AED7D63">
            <w:pPr>
              <w:rPr>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r>
              <w:rPr>
                <w:sz w:val="20"/>
                <w:szCs w:val="20"/>
              </w:rPr>
              <w:t xml:space="preserve"> </w:t>
            </w:r>
          </w:p>
          <w:p w14:paraId="33F0361A">
            <w:pPr>
              <w:rPr>
                <w:rFonts w:ascii="仿宋_GB2312" w:eastAsia="仿宋_GB2312"/>
                <w:sz w:val="20"/>
                <w:szCs w:val="20"/>
              </w:rPr>
            </w:pPr>
            <w:r>
              <w:rPr>
                <w:rFonts w:hint="eastAsia" w:ascii="仿宋_GB2312" w:eastAsia="仿宋_GB2312"/>
                <w:sz w:val="20"/>
                <w:szCs w:val="20"/>
              </w:rPr>
              <w:t>《党政领导干部选拔任用工作条例》</w:t>
            </w:r>
          </w:p>
          <w:p w14:paraId="21585618">
            <w:pPr>
              <w:rPr>
                <w:sz w:val="20"/>
                <w:szCs w:val="20"/>
              </w:rPr>
            </w:pPr>
            <w:r>
              <w:rPr>
                <w:rFonts w:hint="eastAsia" w:ascii="仿宋_GB2312" w:eastAsia="仿宋_GB2312"/>
                <w:sz w:val="20"/>
                <w:szCs w:val="20"/>
              </w:rPr>
              <w:t>《事业单位公开招聘人员暂行规定》（人事部令第</w:t>
            </w:r>
            <w:r>
              <w:rPr>
                <w:sz w:val="20"/>
                <w:szCs w:val="20"/>
              </w:rPr>
              <w:t>6</w:t>
            </w:r>
            <w:r>
              <w:rPr>
                <w:rFonts w:hint="eastAsia" w:ascii="仿宋_GB2312" w:eastAsia="仿宋_GB2312"/>
                <w:sz w:val="20"/>
                <w:szCs w:val="20"/>
              </w:rPr>
              <w:t>号）</w:t>
            </w:r>
          </w:p>
        </w:tc>
        <w:tc>
          <w:tcPr>
            <w:tcW w:w="558" w:type="pct"/>
            <w:vMerge w:val="continue"/>
            <w:tcBorders>
              <w:top w:val="nil"/>
              <w:left w:val="single" w:color="auto" w:sz="4" w:space="0"/>
              <w:bottom w:val="single" w:color="000000" w:sz="4" w:space="0"/>
              <w:right w:val="single" w:color="auto" w:sz="4" w:space="0"/>
            </w:tcBorders>
            <w:vAlign w:val="center"/>
          </w:tcPr>
          <w:p w14:paraId="54EB979B">
            <w:pPr>
              <w:rPr>
                <w:rFonts w:ascii="宋体" w:hAnsi="宋体" w:cs="宋体"/>
                <w:sz w:val="20"/>
                <w:szCs w:val="20"/>
              </w:rPr>
            </w:pPr>
          </w:p>
        </w:tc>
        <w:tc>
          <w:tcPr>
            <w:tcW w:w="699" w:type="pct"/>
            <w:vMerge w:val="restart"/>
            <w:tcBorders>
              <w:top w:val="single" w:color="auto" w:sz="4" w:space="0"/>
              <w:left w:val="single" w:color="auto" w:sz="4" w:space="0"/>
              <w:right w:val="single" w:color="auto" w:sz="4" w:space="0"/>
            </w:tcBorders>
            <w:shd w:val="clear" w:color="auto" w:fill="auto"/>
            <w:tcMar>
              <w:top w:w="15" w:type="dxa"/>
              <w:left w:w="15" w:type="dxa"/>
              <w:bottom w:w="0" w:type="dxa"/>
              <w:right w:w="15" w:type="dxa"/>
            </w:tcMar>
            <w:vAlign w:val="center"/>
          </w:tcPr>
          <w:p w14:paraId="6D23FAAF">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18550290">
            <w:pPr>
              <w:jc w:val="center"/>
              <w:rPr>
                <w:sz w:val="20"/>
                <w:szCs w:val="20"/>
              </w:rPr>
            </w:pPr>
            <w:r>
              <w:rPr>
                <w:sz w:val="20"/>
                <w:szCs w:val="20"/>
              </w:rPr>
              <w:t>http://crp.tsgzy.edu.cn/oa/Index.aspx</w:t>
            </w:r>
          </w:p>
        </w:tc>
        <w:tc>
          <w:tcPr>
            <w:tcW w:w="321" w:type="pct"/>
            <w:vMerge w:val="continue"/>
            <w:tcBorders>
              <w:top w:val="nil"/>
              <w:left w:val="single" w:color="auto" w:sz="4" w:space="0"/>
              <w:bottom w:val="single" w:color="000000" w:sz="4" w:space="0"/>
              <w:right w:val="single" w:color="auto" w:sz="4" w:space="0"/>
            </w:tcBorders>
            <w:vAlign w:val="center"/>
          </w:tcPr>
          <w:p w14:paraId="105012E0">
            <w:pPr>
              <w:rPr>
                <w:sz w:val="24"/>
              </w:rPr>
            </w:pPr>
          </w:p>
        </w:tc>
      </w:tr>
      <w:tr w14:paraId="764400DB">
        <w:tblPrEx>
          <w:tblCellMar>
            <w:top w:w="0" w:type="dxa"/>
            <w:left w:w="0" w:type="dxa"/>
            <w:bottom w:w="0" w:type="dxa"/>
            <w:right w:w="0" w:type="dxa"/>
          </w:tblCellMar>
        </w:tblPrEx>
        <w:trPr>
          <w:trHeight w:val="320"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3464658C">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0A9882DB">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7E0BA9E">
            <w:pPr>
              <w:jc w:val="left"/>
              <w:rPr>
                <w:sz w:val="20"/>
                <w:szCs w:val="20"/>
              </w:rPr>
            </w:pPr>
            <w:r>
              <w:rPr>
                <w:rFonts w:hint="eastAsia" w:ascii="仿宋_GB2312" w:eastAsia="仿宋_GB2312"/>
                <w:sz w:val="20"/>
                <w:szCs w:val="20"/>
              </w:rPr>
              <w:t>（</w:t>
            </w:r>
            <w:r>
              <w:rPr>
                <w:sz w:val="20"/>
                <w:szCs w:val="20"/>
              </w:rPr>
              <w:t>25</w:t>
            </w:r>
            <w:r>
              <w:rPr>
                <w:rFonts w:hint="eastAsia" w:ascii="仿宋_GB2312" w:eastAsia="仿宋_GB2312"/>
                <w:sz w:val="20"/>
                <w:szCs w:val="20"/>
              </w:rPr>
              <w:t>）校内中层干部任免、人员招聘信息</w:t>
            </w:r>
          </w:p>
        </w:tc>
        <w:tc>
          <w:tcPr>
            <w:tcW w:w="1446" w:type="pct"/>
            <w:vMerge w:val="continue"/>
            <w:tcBorders>
              <w:top w:val="nil"/>
              <w:left w:val="single" w:color="auto" w:sz="4" w:space="0"/>
              <w:bottom w:val="single" w:color="000000" w:sz="4" w:space="0"/>
              <w:right w:val="single" w:color="auto" w:sz="4" w:space="0"/>
            </w:tcBorders>
            <w:vAlign w:val="center"/>
          </w:tcPr>
          <w:p w14:paraId="2363F593">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4CD0C864">
            <w:pPr>
              <w:rPr>
                <w:rFonts w:ascii="宋体" w:hAnsi="宋体" w:cs="宋体"/>
                <w:sz w:val="20"/>
                <w:szCs w:val="20"/>
              </w:rPr>
            </w:pPr>
          </w:p>
        </w:tc>
        <w:tc>
          <w:tcPr>
            <w:tcW w:w="699" w:type="pct"/>
            <w:vMerge w:val="continue"/>
            <w:tcBorders>
              <w:left w:val="single" w:color="auto" w:sz="4" w:space="0"/>
              <w:right w:val="single" w:color="auto" w:sz="4" w:space="0"/>
            </w:tcBorders>
            <w:shd w:val="clear" w:color="auto" w:fill="auto"/>
            <w:vAlign w:val="center"/>
          </w:tcPr>
          <w:p w14:paraId="00A482D1">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423B4146">
            <w:pPr>
              <w:rPr>
                <w:sz w:val="24"/>
              </w:rPr>
            </w:pPr>
          </w:p>
        </w:tc>
      </w:tr>
      <w:tr w14:paraId="4048833E">
        <w:tblPrEx>
          <w:tblCellMar>
            <w:top w:w="0" w:type="dxa"/>
            <w:left w:w="0" w:type="dxa"/>
            <w:bottom w:w="0" w:type="dxa"/>
            <w:right w:w="0" w:type="dxa"/>
          </w:tblCellMar>
        </w:tblPrEx>
        <w:trPr>
          <w:trHeight w:val="303"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29E1C27A">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54EE91F8">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F62B427">
            <w:pPr>
              <w:rPr>
                <w:sz w:val="20"/>
                <w:szCs w:val="20"/>
              </w:rPr>
            </w:pPr>
            <w:r>
              <w:rPr>
                <w:rFonts w:hint="eastAsia" w:ascii="仿宋_GB2312" w:eastAsia="仿宋_GB2312"/>
                <w:sz w:val="20"/>
                <w:szCs w:val="20"/>
              </w:rPr>
              <w:t>（</w:t>
            </w:r>
            <w:r>
              <w:rPr>
                <w:sz w:val="20"/>
                <w:szCs w:val="20"/>
              </w:rPr>
              <w:t>26</w:t>
            </w:r>
            <w:r>
              <w:rPr>
                <w:rFonts w:hint="eastAsia" w:ascii="仿宋_GB2312" w:eastAsia="仿宋_GB2312"/>
                <w:sz w:val="20"/>
                <w:szCs w:val="20"/>
              </w:rPr>
              <w:t>）教职工争议解决办法</w:t>
            </w:r>
          </w:p>
        </w:tc>
        <w:tc>
          <w:tcPr>
            <w:tcW w:w="1446" w:type="pct"/>
            <w:vMerge w:val="continue"/>
            <w:tcBorders>
              <w:top w:val="nil"/>
              <w:left w:val="single" w:color="auto" w:sz="4" w:space="0"/>
              <w:bottom w:val="single" w:color="000000" w:sz="4" w:space="0"/>
              <w:right w:val="single" w:color="auto" w:sz="4" w:space="0"/>
            </w:tcBorders>
            <w:vAlign w:val="center"/>
          </w:tcPr>
          <w:p w14:paraId="68A62CEF">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4A16B4D3">
            <w:pPr>
              <w:rPr>
                <w:rFonts w:ascii="宋体" w:hAnsi="宋体" w:cs="宋体"/>
                <w:sz w:val="20"/>
                <w:szCs w:val="20"/>
              </w:rPr>
            </w:pPr>
          </w:p>
        </w:tc>
        <w:tc>
          <w:tcPr>
            <w:tcW w:w="699" w:type="pct"/>
            <w:vMerge w:val="continue"/>
            <w:tcBorders>
              <w:left w:val="single" w:color="auto" w:sz="4" w:space="0"/>
              <w:bottom w:val="single" w:color="000000" w:sz="4" w:space="0"/>
              <w:right w:val="single" w:color="auto" w:sz="4" w:space="0"/>
            </w:tcBorders>
            <w:shd w:val="clear" w:color="auto" w:fill="auto"/>
            <w:vAlign w:val="center"/>
          </w:tcPr>
          <w:p w14:paraId="6423E0FC">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4F7B17AF">
            <w:pPr>
              <w:rPr>
                <w:sz w:val="24"/>
              </w:rPr>
            </w:pPr>
          </w:p>
        </w:tc>
      </w:tr>
      <w:tr w14:paraId="1768F549">
        <w:tblPrEx>
          <w:tblCellMar>
            <w:top w:w="0" w:type="dxa"/>
            <w:left w:w="0" w:type="dxa"/>
            <w:bottom w:w="0" w:type="dxa"/>
            <w:right w:w="0" w:type="dxa"/>
          </w:tblCellMar>
        </w:tblPrEx>
        <w:trPr>
          <w:trHeight w:val="540" w:hRule="atLeast"/>
          <w:jc w:val="center"/>
        </w:trPr>
        <w:tc>
          <w:tcPr>
            <w:tcW w:w="150"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38DFC63A">
            <w:pPr>
              <w:jc w:val="center"/>
              <w:rPr>
                <w:sz w:val="20"/>
                <w:szCs w:val="20"/>
              </w:rPr>
            </w:pPr>
            <w:r>
              <w:rPr>
                <w:sz w:val="20"/>
                <w:szCs w:val="20"/>
              </w:rPr>
              <w:t>5</w:t>
            </w:r>
          </w:p>
        </w:tc>
        <w:tc>
          <w:tcPr>
            <w:tcW w:w="375"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7BC47DB4">
            <w:pPr>
              <w:jc w:val="center"/>
              <w:rPr>
                <w:rFonts w:ascii="仿宋_GB2312" w:eastAsia="仿宋_GB2312"/>
                <w:sz w:val="20"/>
                <w:szCs w:val="20"/>
              </w:rPr>
            </w:pPr>
            <w:r>
              <w:rPr>
                <w:rFonts w:hint="eastAsia" w:ascii="仿宋_GB2312" w:eastAsia="仿宋_GB2312"/>
                <w:sz w:val="20"/>
                <w:szCs w:val="20"/>
              </w:rPr>
              <w:t>教学质量信息</w:t>
            </w:r>
          </w:p>
          <w:p w14:paraId="3C174C0A">
            <w:pPr>
              <w:jc w:val="center"/>
              <w:rPr>
                <w:rFonts w:ascii="仿宋_GB2312" w:eastAsia="仿宋_GB2312"/>
                <w:sz w:val="20"/>
                <w:szCs w:val="20"/>
              </w:rPr>
            </w:pPr>
          </w:p>
          <w:p w14:paraId="64CCF9F7">
            <w:pPr>
              <w:jc w:val="center"/>
              <w:rPr>
                <w:sz w:val="20"/>
                <w:szCs w:val="20"/>
              </w:rPr>
            </w:pPr>
            <w:r>
              <w:rPr>
                <w:rFonts w:hint="eastAsia" w:ascii="仿宋_GB2312" w:eastAsia="仿宋_GB2312"/>
                <w:sz w:val="20"/>
                <w:szCs w:val="20"/>
              </w:rPr>
              <w:t>（</w:t>
            </w:r>
            <w:r>
              <w:rPr>
                <w:sz w:val="20"/>
                <w:szCs w:val="20"/>
              </w:rPr>
              <w:t>9</w:t>
            </w:r>
            <w:r>
              <w:rPr>
                <w:rFonts w:hint="eastAsia" w:ascii="仿宋_GB2312" w:eastAsia="仿宋_GB2312"/>
                <w:sz w:val="20"/>
                <w:szCs w:val="20"/>
              </w:rPr>
              <w:t>项）</w:t>
            </w: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69E6CDF">
            <w:pPr>
              <w:jc w:val="left"/>
              <w:rPr>
                <w:sz w:val="20"/>
                <w:szCs w:val="20"/>
              </w:rPr>
            </w:pPr>
            <w:r>
              <w:rPr>
                <w:rFonts w:hint="eastAsia" w:ascii="仿宋_GB2312" w:eastAsia="仿宋_GB2312"/>
                <w:sz w:val="20"/>
                <w:szCs w:val="20"/>
              </w:rPr>
              <w:t>（</w:t>
            </w:r>
            <w:r>
              <w:rPr>
                <w:sz w:val="20"/>
                <w:szCs w:val="20"/>
              </w:rPr>
              <w:t>27</w:t>
            </w:r>
            <w:r>
              <w:rPr>
                <w:rFonts w:hint="eastAsia" w:ascii="仿宋_GB2312" w:eastAsia="仿宋_GB2312"/>
                <w:sz w:val="20"/>
                <w:szCs w:val="20"/>
              </w:rPr>
              <w:t>）本科生占全日制在校生总数的比例、教师数量及结构</w:t>
            </w:r>
          </w:p>
        </w:tc>
        <w:tc>
          <w:tcPr>
            <w:tcW w:w="1446"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6C36F52">
            <w:pPr>
              <w:rPr>
                <w:rFonts w:ascii="仿宋_GB2312" w:eastAsia="仿宋_GB2312"/>
                <w:sz w:val="20"/>
                <w:szCs w:val="20"/>
              </w:rPr>
            </w:pPr>
          </w:p>
          <w:p w14:paraId="32925B21">
            <w:pPr>
              <w:rPr>
                <w:rFonts w:ascii="仿宋_GB2312" w:eastAsia="仿宋_GB2312"/>
                <w:sz w:val="20"/>
                <w:szCs w:val="20"/>
              </w:rPr>
            </w:pPr>
            <w:r>
              <w:rPr>
                <w:rFonts w:hint="eastAsia" w:ascii="仿宋_GB2312" w:eastAsia="仿宋_GB2312"/>
                <w:sz w:val="20"/>
                <w:szCs w:val="20"/>
              </w:rPr>
              <w:t>《国家中长期教育改革和发展规划纲要（</w:t>
            </w:r>
            <w:r>
              <w:rPr>
                <w:sz w:val="20"/>
                <w:szCs w:val="20"/>
              </w:rPr>
              <w:t>2010-2020</w:t>
            </w:r>
            <w:r>
              <w:rPr>
                <w:rFonts w:hint="eastAsia" w:ascii="仿宋_GB2312" w:eastAsia="仿宋_GB2312"/>
                <w:sz w:val="20"/>
                <w:szCs w:val="20"/>
              </w:rPr>
              <w:t>年）》</w:t>
            </w:r>
          </w:p>
          <w:p w14:paraId="33BEDFA0">
            <w:pPr>
              <w:rPr>
                <w:rFonts w:ascii="仿宋_GB2312" w:eastAsia="仿宋_GB2312"/>
                <w:sz w:val="20"/>
                <w:szCs w:val="20"/>
              </w:rPr>
            </w:pPr>
          </w:p>
          <w:p w14:paraId="3C95C069">
            <w:pPr>
              <w:rPr>
                <w:sz w:val="20"/>
                <w:szCs w:val="20"/>
              </w:rPr>
            </w:pPr>
            <w:r>
              <w:rPr>
                <w:rFonts w:hint="eastAsia" w:ascii="仿宋_GB2312" w:eastAsia="仿宋_GB2312"/>
                <w:sz w:val="20"/>
                <w:szCs w:val="20"/>
              </w:rPr>
              <w:t>《教育部办公厅关于普通高等学校编制发布</w:t>
            </w:r>
            <w:r>
              <w:rPr>
                <w:sz w:val="20"/>
                <w:szCs w:val="20"/>
              </w:rPr>
              <w:t>2012</w:t>
            </w:r>
            <w:r>
              <w:rPr>
                <w:rFonts w:hint="eastAsia" w:ascii="仿宋_GB2312" w:eastAsia="仿宋_GB2312"/>
                <w:sz w:val="20"/>
                <w:szCs w:val="20"/>
              </w:rPr>
              <w:t>年</w:t>
            </w:r>
            <w:r>
              <w:rPr>
                <w:sz w:val="20"/>
                <w:szCs w:val="20"/>
              </w:rPr>
              <w:t>&lt;</w:t>
            </w:r>
            <w:r>
              <w:rPr>
                <w:rFonts w:hint="eastAsia" w:ascii="仿宋_GB2312" w:eastAsia="仿宋_GB2312"/>
                <w:sz w:val="20"/>
                <w:szCs w:val="20"/>
              </w:rPr>
              <w:t>本科教学质量报告</w:t>
            </w:r>
            <w:r>
              <w:rPr>
                <w:sz w:val="20"/>
                <w:szCs w:val="20"/>
              </w:rPr>
              <w:t>&gt;</w:t>
            </w:r>
            <w:r>
              <w:rPr>
                <w:rFonts w:hint="eastAsia" w:ascii="仿宋_GB2312" w:eastAsia="仿宋_GB2312"/>
                <w:sz w:val="20"/>
                <w:szCs w:val="20"/>
              </w:rPr>
              <w:t>的通知》</w:t>
            </w:r>
            <w:r>
              <w:rPr>
                <w:sz w:val="20"/>
                <w:szCs w:val="20"/>
              </w:rPr>
              <w:t>(</w:t>
            </w:r>
            <w:r>
              <w:rPr>
                <w:rFonts w:hint="eastAsia" w:ascii="仿宋_GB2312" w:eastAsia="仿宋_GB2312"/>
                <w:sz w:val="20"/>
                <w:szCs w:val="20"/>
              </w:rPr>
              <w:t>教高厅函〔</w:t>
            </w:r>
            <w:r>
              <w:rPr>
                <w:sz w:val="20"/>
                <w:szCs w:val="20"/>
              </w:rPr>
              <w:t>2013</w:t>
            </w:r>
            <w:r>
              <w:rPr>
                <w:rFonts w:hint="eastAsia" w:ascii="仿宋_GB2312" w:eastAsia="仿宋_GB2312"/>
                <w:sz w:val="20"/>
                <w:szCs w:val="20"/>
              </w:rPr>
              <w:t>〕</w:t>
            </w:r>
            <w:r>
              <w:rPr>
                <w:sz w:val="20"/>
                <w:szCs w:val="20"/>
              </w:rPr>
              <w:t>33</w:t>
            </w:r>
            <w:r>
              <w:rPr>
                <w:rFonts w:hint="eastAsia" w:ascii="仿宋_GB2312" w:eastAsia="仿宋_GB2312"/>
                <w:sz w:val="20"/>
                <w:szCs w:val="20"/>
              </w:rPr>
              <w:t>号</w:t>
            </w:r>
            <w:r>
              <w:rPr>
                <w:sz w:val="20"/>
                <w:szCs w:val="20"/>
              </w:rPr>
              <w:t>)</w:t>
            </w: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8035A54">
            <w:pPr>
              <w:jc w:val="center"/>
              <w:rPr>
                <w:rFonts w:ascii="宋体" w:hAnsi="宋体" w:cs="宋体"/>
                <w:sz w:val="20"/>
                <w:szCs w:val="20"/>
              </w:rPr>
            </w:pPr>
            <w:r>
              <w:rPr>
                <w:rFonts w:hint="eastAsia"/>
                <w:sz w:val="20"/>
                <w:szCs w:val="20"/>
              </w:rPr>
              <w:t>——</w:t>
            </w: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3AD2EB9">
            <w:pPr>
              <w:jc w:val="center"/>
              <w:rPr>
                <w:sz w:val="20"/>
                <w:szCs w:val="20"/>
              </w:rPr>
            </w:pPr>
            <w:r>
              <w:rPr>
                <w:sz w:val="20"/>
                <w:szCs w:val="20"/>
              </w:rPr>
              <w:t>　</w:t>
            </w:r>
          </w:p>
        </w:tc>
        <w:tc>
          <w:tcPr>
            <w:tcW w:w="321"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75E61964">
            <w:pPr>
              <w:jc w:val="center"/>
              <w:rPr>
                <w:sz w:val="24"/>
              </w:rPr>
            </w:pPr>
            <w:r>
              <w:rPr>
                <w:rFonts w:hint="eastAsia"/>
              </w:rPr>
              <w:t>202</w:t>
            </w:r>
            <w:r>
              <w:rPr>
                <w:rFonts w:hint="eastAsia"/>
                <w:lang w:val="en-US" w:eastAsia="zh-CN"/>
              </w:rPr>
              <w:t>5</w:t>
            </w:r>
            <w:r>
              <w:t>.8.31</w:t>
            </w:r>
          </w:p>
        </w:tc>
      </w:tr>
      <w:tr w14:paraId="1302A0A7">
        <w:tblPrEx>
          <w:tblCellMar>
            <w:top w:w="0" w:type="dxa"/>
            <w:left w:w="0" w:type="dxa"/>
            <w:bottom w:w="0" w:type="dxa"/>
            <w:right w:w="0" w:type="dxa"/>
          </w:tblCellMar>
        </w:tblPrEx>
        <w:trPr>
          <w:trHeight w:val="585"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3096B0FC">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2010879E">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52F8A99">
            <w:pPr>
              <w:jc w:val="left"/>
              <w:rPr>
                <w:sz w:val="20"/>
                <w:szCs w:val="20"/>
              </w:rPr>
            </w:pPr>
            <w:r>
              <w:rPr>
                <w:rFonts w:hint="eastAsia" w:ascii="仿宋_GB2312" w:eastAsia="仿宋_GB2312"/>
                <w:sz w:val="20"/>
                <w:szCs w:val="20"/>
              </w:rPr>
              <w:t>（</w:t>
            </w:r>
            <w:r>
              <w:rPr>
                <w:sz w:val="20"/>
                <w:szCs w:val="20"/>
              </w:rPr>
              <w:t>28</w:t>
            </w:r>
            <w:r>
              <w:rPr>
                <w:rFonts w:hint="eastAsia" w:ascii="仿宋_GB2312" w:eastAsia="仿宋_GB2312"/>
                <w:sz w:val="20"/>
                <w:szCs w:val="20"/>
              </w:rPr>
              <w:t>）专业设置、当年新增专业、停招专业名单</w:t>
            </w:r>
          </w:p>
        </w:tc>
        <w:tc>
          <w:tcPr>
            <w:tcW w:w="1446" w:type="pct"/>
            <w:vMerge w:val="continue"/>
            <w:tcBorders>
              <w:top w:val="nil"/>
              <w:left w:val="single" w:color="auto" w:sz="4" w:space="0"/>
              <w:bottom w:val="single" w:color="auto" w:sz="4" w:space="0"/>
              <w:right w:val="single" w:color="auto" w:sz="4" w:space="0"/>
            </w:tcBorders>
            <w:vAlign w:val="center"/>
          </w:tcPr>
          <w:p w14:paraId="7BE4CD05">
            <w:pPr>
              <w:rPr>
                <w:sz w:val="20"/>
                <w:szCs w:val="20"/>
              </w:rPr>
            </w:pP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39A36EC">
            <w:pPr>
              <w:jc w:val="center"/>
              <w:rPr>
                <w:rFonts w:ascii="宋体" w:hAnsi="宋体" w:cs="宋体"/>
                <w:sz w:val="20"/>
                <w:szCs w:val="20"/>
              </w:rPr>
            </w:pPr>
            <w:r>
              <w:rPr>
                <w:rFonts w:hint="eastAsia"/>
                <w:sz w:val="20"/>
                <w:szCs w:val="20"/>
              </w:rPr>
              <w:t>教务处</w:t>
            </w:r>
          </w:p>
        </w:tc>
        <w:tc>
          <w:tcPr>
            <w:tcW w:w="699"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1E39CA30">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2A0E4DBC">
            <w:pPr>
              <w:jc w:val="center"/>
              <w:rPr>
                <w:sz w:val="20"/>
                <w:szCs w:val="20"/>
              </w:rPr>
            </w:pPr>
            <w:r>
              <w:rPr>
                <w:sz w:val="20"/>
                <w:szCs w:val="20"/>
              </w:rPr>
              <w:t>http://crp.tsgzy.edu.cn/oa/Index.aspx /</w:t>
            </w:r>
          </w:p>
        </w:tc>
        <w:tc>
          <w:tcPr>
            <w:tcW w:w="321" w:type="pct"/>
            <w:vMerge w:val="continue"/>
            <w:tcBorders>
              <w:top w:val="nil"/>
              <w:left w:val="single" w:color="auto" w:sz="4" w:space="0"/>
              <w:bottom w:val="single" w:color="000000" w:sz="4" w:space="0"/>
              <w:right w:val="single" w:color="auto" w:sz="4" w:space="0"/>
            </w:tcBorders>
            <w:vAlign w:val="center"/>
          </w:tcPr>
          <w:p w14:paraId="01C8E4EA">
            <w:pPr>
              <w:rPr>
                <w:sz w:val="24"/>
              </w:rPr>
            </w:pPr>
          </w:p>
        </w:tc>
      </w:tr>
      <w:tr w14:paraId="13E191CB">
        <w:tblPrEx>
          <w:tblCellMar>
            <w:top w:w="0" w:type="dxa"/>
            <w:left w:w="0" w:type="dxa"/>
            <w:bottom w:w="0" w:type="dxa"/>
            <w:right w:w="0" w:type="dxa"/>
          </w:tblCellMar>
        </w:tblPrEx>
        <w:trPr>
          <w:trHeight w:val="690"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66D9F09F">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51F0FF51">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57FB46C">
            <w:pPr>
              <w:jc w:val="left"/>
              <w:rPr>
                <w:sz w:val="20"/>
                <w:szCs w:val="20"/>
              </w:rPr>
            </w:pPr>
            <w:r>
              <w:rPr>
                <w:rFonts w:hint="eastAsia" w:ascii="仿宋_GB2312" w:eastAsia="仿宋_GB2312"/>
                <w:sz w:val="20"/>
                <w:szCs w:val="20"/>
              </w:rPr>
              <w:t>（</w:t>
            </w:r>
            <w:r>
              <w:rPr>
                <w:sz w:val="20"/>
                <w:szCs w:val="20"/>
              </w:rPr>
              <w:t>29</w:t>
            </w:r>
            <w:r>
              <w:rPr>
                <w:rFonts w:hint="eastAsia" w:ascii="仿宋_GB2312" w:eastAsia="仿宋_GB2312"/>
                <w:sz w:val="20"/>
                <w:szCs w:val="20"/>
              </w:rPr>
              <w:t>）全校开设课程总门数、实践教学学分占总学分比例、选修课学分占总学分比例</w:t>
            </w:r>
          </w:p>
        </w:tc>
        <w:tc>
          <w:tcPr>
            <w:tcW w:w="1446" w:type="pct"/>
            <w:vMerge w:val="continue"/>
            <w:tcBorders>
              <w:top w:val="nil"/>
              <w:left w:val="single" w:color="auto" w:sz="4" w:space="0"/>
              <w:bottom w:val="single" w:color="auto" w:sz="4" w:space="0"/>
              <w:right w:val="single" w:color="auto" w:sz="4" w:space="0"/>
            </w:tcBorders>
            <w:vAlign w:val="center"/>
          </w:tcPr>
          <w:p w14:paraId="2F395F96">
            <w:pPr>
              <w:rPr>
                <w:sz w:val="20"/>
                <w:szCs w:val="20"/>
              </w:rPr>
            </w:pP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714DADA">
            <w:pPr>
              <w:jc w:val="center"/>
              <w:rPr>
                <w:rFonts w:ascii="宋体" w:hAnsi="宋体" w:cs="宋体"/>
                <w:sz w:val="20"/>
                <w:szCs w:val="20"/>
              </w:rPr>
            </w:pPr>
            <w:r>
              <w:rPr>
                <w:rFonts w:hint="eastAsia"/>
                <w:sz w:val="20"/>
                <w:szCs w:val="20"/>
              </w:rPr>
              <w:t>教务处</w:t>
            </w:r>
          </w:p>
        </w:tc>
        <w:tc>
          <w:tcPr>
            <w:tcW w:w="699" w:type="pct"/>
            <w:vMerge w:val="continue"/>
            <w:tcBorders>
              <w:top w:val="nil"/>
              <w:left w:val="single" w:color="auto" w:sz="4" w:space="0"/>
              <w:bottom w:val="single" w:color="000000" w:sz="4" w:space="0"/>
              <w:right w:val="single" w:color="auto" w:sz="4" w:space="0"/>
            </w:tcBorders>
            <w:vAlign w:val="center"/>
          </w:tcPr>
          <w:p w14:paraId="061CC37A">
            <w:pPr>
              <w:rPr>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1883D07A">
            <w:pPr>
              <w:rPr>
                <w:sz w:val="24"/>
              </w:rPr>
            </w:pPr>
          </w:p>
        </w:tc>
      </w:tr>
      <w:tr w14:paraId="27CB9F8D">
        <w:tblPrEx>
          <w:tblCellMar>
            <w:top w:w="0" w:type="dxa"/>
            <w:left w:w="0" w:type="dxa"/>
            <w:bottom w:w="0" w:type="dxa"/>
            <w:right w:w="0" w:type="dxa"/>
          </w:tblCellMar>
        </w:tblPrEx>
        <w:trPr>
          <w:trHeight w:val="855"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4FA2D86F">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3556034D">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FC966CE">
            <w:pPr>
              <w:jc w:val="left"/>
              <w:rPr>
                <w:sz w:val="20"/>
                <w:szCs w:val="20"/>
              </w:rPr>
            </w:pPr>
            <w:r>
              <w:rPr>
                <w:rFonts w:hint="eastAsia" w:ascii="仿宋_GB2312" w:eastAsia="仿宋_GB2312"/>
                <w:sz w:val="20"/>
                <w:szCs w:val="20"/>
              </w:rPr>
              <w:t>（</w:t>
            </w:r>
            <w:r>
              <w:rPr>
                <w:sz w:val="20"/>
                <w:szCs w:val="20"/>
              </w:rPr>
              <w:t>30</w:t>
            </w:r>
            <w:r>
              <w:rPr>
                <w:rFonts w:hint="eastAsia" w:ascii="仿宋_GB2312" w:eastAsia="仿宋_GB2312"/>
                <w:sz w:val="20"/>
                <w:szCs w:val="20"/>
              </w:rPr>
              <w:t>）主讲本科课程的教授占教授总数的比例、教授授本科课程占课程总门次数的比例</w:t>
            </w:r>
          </w:p>
        </w:tc>
        <w:tc>
          <w:tcPr>
            <w:tcW w:w="1446" w:type="pct"/>
            <w:vMerge w:val="continue"/>
            <w:tcBorders>
              <w:top w:val="nil"/>
              <w:left w:val="single" w:color="auto" w:sz="4" w:space="0"/>
              <w:bottom w:val="single" w:color="auto" w:sz="4" w:space="0"/>
              <w:right w:val="single" w:color="auto" w:sz="4" w:space="0"/>
            </w:tcBorders>
            <w:vAlign w:val="center"/>
          </w:tcPr>
          <w:p w14:paraId="2C79D1C4">
            <w:pPr>
              <w:rPr>
                <w:sz w:val="20"/>
                <w:szCs w:val="20"/>
              </w:rPr>
            </w:pP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8711961">
            <w:pPr>
              <w:jc w:val="center"/>
              <w:rPr>
                <w:rFonts w:ascii="宋体" w:hAnsi="宋体" w:cs="宋体"/>
                <w:sz w:val="20"/>
                <w:szCs w:val="20"/>
              </w:rPr>
            </w:pPr>
            <w:r>
              <w:rPr>
                <w:rFonts w:hint="eastAsia"/>
                <w:sz w:val="20"/>
                <w:szCs w:val="20"/>
              </w:rPr>
              <w:t>——</w:t>
            </w: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5E77B87">
            <w:pPr>
              <w:jc w:val="center"/>
              <w:rPr>
                <w:sz w:val="20"/>
                <w:szCs w:val="20"/>
              </w:rPr>
            </w:pPr>
            <w:r>
              <w:rPr>
                <w:sz w:val="20"/>
                <w:szCs w:val="20"/>
              </w:rPr>
              <w:t>　</w:t>
            </w:r>
          </w:p>
        </w:tc>
        <w:tc>
          <w:tcPr>
            <w:tcW w:w="321" w:type="pct"/>
            <w:vMerge w:val="continue"/>
            <w:tcBorders>
              <w:top w:val="nil"/>
              <w:left w:val="single" w:color="auto" w:sz="4" w:space="0"/>
              <w:bottom w:val="single" w:color="000000" w:sz="4" w:space="0"/>
              <w:right w:val="single" w:color="auto" w:sz="4" w:space="0"/>
            </w:tcBorders>
            <w:vAlign w:val="center"/>
          </w:tcPr>
          <w:p w14:paraId="1C7AA2FE">
            <w:pPr>
              <w:rPr>
                <w:sz w:val="24"/>
              </w:rPr>
            </w:pPr>
          </w:p>
        </w:tc>
      </w:tr>
      <w:tr w14:paraId="7E4750D3">
        <w:tblPrEx>
          <w:tblCellMar>
            <w:top w:w="0" w:type="dxa"/>
            <w:left w:w="0" w:type="dxa"/>
            <w:bottom w:w="0" w:type="dxa"/>
            <w:right w:w="0" w:type="dxa"/>
          </w:tblCellMar>
        </w:tblPrEx>
        <w:trPr>
          <w:trHeight w:val="354"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49B49D51">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31041600">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4CCD538">
            <w:pPr>
              <w:jc w:val="left"/>
              <w:rPr>
                <w:sz w:val="20"/>
                <w:szCs w:val="20"/>
              </w:rPr>
            </w:pPr>
            <w:r>
              <w:rPr>
                <w:rFonts w:hint="eastAsia" w:ascii="仿宋_GB2312" w:eastAsia="仿宋_GB2312"/>
                <w:sz w:val="20"/>
                <w:szCs w:val="20"/>
              </w:rPr>
              <w:t>（</w:t>
            </w:r>
            <w:r>
              <w:rPr>
                <w:sz w:val="20"/>
                <w:szCs w:val="20"/>
              </w:rPr>
              <w:t>31</w:t>
            </w:r>
            <w:r>
              <w:rPr>
                <w:rFonts w:hint="eastAsia" w:ascii="仿宋_GB2312" w:eastAsia="仿宋_GB2312"/>
                <w:sz w:val="20"/>
                <w:szCs w:val="20"/>
              </w:rPr>
              <w:t>）促进毕业生就业的政策措施和指导服务</w:t>
            </w:r>
          </w:p>
        </w:tc>
        <w:tc>
          <w:tcPr>
            <w:tcW w:w="1446"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411C894E">
            <w:pPr>
              <w:rPr>
                <w:rFonts w:ascii="仿宋_GB2312" w:eastAsia="仿宋_GB2312"/>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p>
          <w:p w14:paraId="7ECC4581">
            <w:pPr>
              <w:rPr>
                <w:sz w:val="20"/>
                <w:szCs w:val="20"/>
              </w:rPr>
            </w:pPr>
            <w:r>
              <w:rPr>
                <w:rFonts w:hint="eastAsia" w:ascii="仿宋_GB2312" w:eastAsia="仿宋_GB2312"/>
                <w:sz w:val="20"/>
                <w:szCs w:val="20"/>
              </w:rPr>
              <w:t>《教育部办公厅关于编制发布高校毕业生就业质量年度报告的通知》</w:t>
            </w:r>
            <w:r>
              <w:rPr>
                <w:sz w:val="20"/>
                <w:szCs w:val="20"/>
              </w:rPr>
              <w:t>(</w:t>
            </w:r>
            <w:r>
              <w:rPr>
                <w:rFonts w:hint="eastAsia" w:ascii="仿宋_GB2312" w:eastAsia="仿宋_GB2312"/>
                <w:sz w:val="20"/>
                <w:szCs w:val="20"/>
              </w:rPr>
              <w:t>教学厅函〔</w:t>
            </w:r>
            <w:r>
              <w:rPr>
                <w:sz w:val="20"/>
                <w:szCs w:val="20"/>
              </w:rPr>
              <w:t>2013</w:t>
            </w:r>
            <w:r>
              <w:rPr>
                <w:rFonts w:hint="eastAsia" w:ascii="仿宋_GB2312" w:eastAsia="仿宋_GB2312"/>
                <w:sz w:val="20"/>
                <w:szCs w:val="20"/>
              </w:rPr>
              <w:t>〕</w:t>
            </w:r>
            <w:r>
              <w:rPr>
                <w:sz w:val="20"/>
                <w:szCs w:val="20"/>
              </w:rPr>
              <w:t>25</w:t>
            </w:r>
            <w:r>
              <w:rPr>
                <w:rFonts w:hint="eastAsia" w:ascii="仿宋_GB2312" w:eastAsia="仿宋_GB2312"/>
                <w:sz w:val="20"/>
                <w:szCs w:val="20"/>
              </w:rPr>
              <w:t>号</w:t>
            </w:r>
            <w:r>
              <w:rPr>
                <w:sz w:val="20"/>
                <w:szCs w:val="20"/>
              </w:rPr>
              <w:t>)</w:t>
            </w:r>
          </w:p>
        </w:tc>
        <w:tc>
          <w:tcPr>
            <w:tcW w:w="558"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7D9373B3">
            <w:pPr>
              <w:jc w:val="center"/>
              <w:rPr>
                <w:rFonts w:ascii="宋体" w:hAnsi="宋体" w:cs="宋体"/>
                <w:sz w:val="20"/>
                <w:szCs w:val="20"/>
              </w:rPr>
            </w:pPr>
            <w:r>
              <w:rPr>
                <w:rFonts w:hint="eastAsia"/>
                <w:sz w:val="20"/>
                <w:szCs w:val="20"/>
              </w:rPr>
              <w:t>招生就业处</w:t>
            </w:r>
          </w:p>
        </w:tc>
        <w:tc>
          <w:tcPr>
            <w:tcW w:w="699"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1CCA9463">
            <w:pPr>
              <w:jc w:val="center"/>
              <w:rPr>
                <w:sz w:val="20"/>
                <w:szCs w:val="20"/>
              </w:rPr>
            </w:pPr>
            <w:r>
              <w:rPr>
                <w:rFonts w:hint="eastAsia"/>
                <w:sz w:val="20"/>
                <w:szCs w:val="20"/>
                <w:lang w:eastAsia="zh-CN"/>
              </w:rPr>
              <w:t>唐山工业职业技术大学</w:t>
            </w:r>
            <w:r>
              <w:rPr>
                <w:rFonts w:hint="eastAsia"/>
                <w:sz w:val="20"/>
                <w:szCs w:val="20"/>
              </w:rPr>
              <w:t>招生就业网</w:t>
            </w:r>
          </w:p>
          <w:p w14:paraId="22AB6545">
            <w:pPr>
              <w:jc w:val="center"/>
              <w:rPr>
                <w:sz w:val="20"/>
                <w:szCs w:val="20"/>
              </w:rPr>
            </w:pPr>
            <w:r>
              <w:rPr>
                <w:rFonts w:hint="eastAsia"/>
                <w:sz w:val="20"/>
                <w:szCs w:val="20"/>
              </w:rPr>
              <w:t>https://zsw.tsgzy.edu.cn/</w:t>
            </w:r>
          </w:p>
        </w:tc>
        <w:tc>
          <w:tcPr>
            <w:tcW w:w="321" w:type="pct"/>
            <w:vMerge w:val="continue"/>
            <w:tcBorders>
              <w:top w:val="nil"/>
              <w:left w:val="single" w:color="auto" w:sz="4" w:space="0"/>
              <w:bottom w:val="single" w:color="000000" w:sz="4" w:space="0"/>
              <w:right w:val="single" w:color="auto" w:sz="4" w:space="0"/>
            </w:tcBorders>
            <w:vAlign w:val="center"/>
          </w:tcPr>
          <w:p w14:paraId="2458D099">
            <w:pPr>
              <w:rPr>
                <w:sz w:val="24"/>
              </w:rPr>
            </w:pPr>
          </w:p>
        </w:tc>
      </w:tr>
      <w:tr w14:paraId="19726173">
        <w:tblPrEx>
          <w:tblCellMar>
            <w:top w:w="0" w:type="dxa"/>
            <w:left w:w="0" w:type="dxa"/>
            <w:bottom w:w="0" w:type="dxa"/>
            <w:right w:w="0" w:type="dxa"/>
          </w:tblCellMar>
        </w:tblPrEx>
        <w:trPr>
          <w:trHeight w:val="220"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10F4A74A">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14C28672">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5AC7E9C">
            <w:pPr>
              <w:jc w:val="left"/>
              <w:rPr>
                <w:sz w:val="20"/>
                <w:szCs w:val="20"/>
              </w:rPr>
            </w:pPr>
            <w:r>
              <w:rPr>
                <w:rFonts w:hint="eastAsia" w:ascii="仿宋_GB2312" w:eastAsia="仿宋_GB2312"/>
                <w:sz w:val="20"/>
                <w:szCs w:val="20"/>
              </w:rPr>
              <w:t>（</w:t>
            </w:r>
            <w:r>
              <w:rPr>
                <w:sz w:val="20"/>
                <w:szCs w:val="20"/>
              </w:rPr>
              <w:t>32</w:t>
            </w:r>
            <w:r>
              <w:rPr>
                <w:rFonts w:hint="eastAsia" w:ascii="仿宋_GB2312" w:eastAsia="仿宋_GB2312"/>
                <w:sz w:val="20"/>
                <w:szCs w:val="20"/>
              </w:rPr>
              <w:t>）毕业生的规模、结构、就业率、就业流向</w:t>
            </w:r>
          </w:p>
        </w:tc>
        <w:tc>
          <w:tcPr>
            <w:tcW w:w="1446" w:type="pct"/>
            <w:vMerge w:val="continue"/>
            <w:tcBorders>
              <w:top w:val="nil"/>
              <w:left w:val="single" w:color="auto" w:sz="4" w:space="0"/>
              <w:bottom w:val="single" w:color="000000" w:sz="4" w:space="0"/>
              <w:right w:val="single" w:color="auto" w:sz="4" w:space="0"/>
            </w:tcBorders>
            <w:vAlign w:val="center"/>
          </w:tcPr>
          <w:p w14:paraId="4581ED2E">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2474D4A1">
            <w:pPr>
              <w:rPr>
                <w:rFonts w:ascii="宋体" w:hAnsi="宋体" w:cs="宋体"/>
                <w:sz w:val="20"/>
                <w:szCs w:val="20"/>
              </w:rPr>
            </w:pPr>
          </w:p>
        </w:tc>
        <w:tc>
          <w:tcPr>
            <w:tcW w:w="699" w:type="pct"/>
            <w:vMerge w:val="continue"/>
            <w:tcBorders>
              <w:top w:val="nil"/>
              <w:left w:val="single" w:color="auto" w:sz="4" w:space="0"/>
              <w:bottom w:val="single" w:color="000000" w:sz="4" w:space="0"/>
              <w:right w:val="single" w:color="auto" w:sz="4" w:space="0"/>
            </w:tcBorders>
            <w:vAlign w:val="center"/>
          </w:tcPr>
          <w:p w14:paraId="310DF2F0">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7F2DC1D7">
            <w:pPr>
              <w:rPr>
                <w:sz w:val="24"/>
              </w:rPr>
            </w:pPr>
          </w:p>
        </w:tc>
      </w:tr>
      <w:tr w14:paraId="563D2B5A">
        <w:tblPrEx>
          <w:tblCellMar>
            <w:top w:w="0" w:type="dxa"/>
            <w:left w:w="0" w:type="dxa"/>
            <w:bottom w:w="0" w:type="dxa"/>
            <w:right w:w="0" w:type="dxa"/>
          </w:tblCellMar>
        </w:tblPrEx>
        <w:trPr>
          <w:trHeight w:val="59"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5411347F">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3317BD0F">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0BCC8E2">
            <w:pPr>
              <w:rPr>
                <w:sz w:val="20"/>
                <w:szCs w:val="20"/>
              </w:rPr>
            </w:pPr>
            <w:r>
              <w:rPr>
                <w:rFonts w:hint="eastAsia" w:ascii="仿宋_GB2312" w:eastAsia="仿宋_GB2312"/>
                <w:sz w:val="20"/>
                <w:szCs w:val="20"/>
              </w:rPr>
              <w:t>（</w:t>
            </w:r>
            <w:r>
              <w:rPr>
                <w:sz w:val="20"/>
                <w:szCs w:val="20"/>
              </w:rPr>
              <w:t>33</w:t>
            </w:r>
            <w:r>
              <w:rPr>
                <w:rFonts w:hint="eastAsia" w:ascii="仿宋_GB2312" w:eastAsia="仿宋_GB2312"/>
                <w:sz w:val="20"/>
                <w:szCs w:val="20"/>
              </w:rPr>
              <w:t>）高校毕业生就业质量年度报告</w:t>
            </w:r>
          </w:p>
        </w:tc>
        <w:tc>
          <w:tcPr>
            <w:tcW w:w="1446" w:type="pct"/>
            <w:vMerge w:val="continue"/>
            <w:tcBorders>
              <w:top w:val="nil"/>
              <w:left w:val="single" w:color="auto" w:sz="4" w:space="0"/>
              <w:bottom w:val="single" w:color="000000" w:sz="4" w:space="0"/>
              <w:right w:val="single" w:color="auto" w:sz="4" w:space="0"/>
            </w:tcBorders>
            <w:vAlign w:val="center"/>
          </w:tcPr>
          <w:p w14:paraId="5573572C">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44E4215B">
            <w:pPr>
              <w:rPr>
                <w:rFonts w:ascii="宋体" w:hAnsi="宋体" w:cs="宋体"/>
                <w:sz w:val="20"/>
                <w:szCs w:val="20"/>
              </w:rPr>
            </w:pPr>
          </w:p>
        </w:tc>
        <w:tc>
          <w:tcPr>
            <w:tcW w:w="699" w:type="pct"/>
            <w:vMerge w:val="continue"/>
            <w:tcBorders>
              <w:top w:val="nil"/>
              <w:left w:val="single" w:color="auto" w:sz="4" w:space="0"/>
              <w:bottom w:val="single" w:color="000000" w:sz="4" w:space="0"/>
              <w:right w:val="single" w:color="auto" w:sz="4" w:space="0"/>
            </w:tcBorders>
            <w:vAlign w:val="center"/>
          </w:tcPr>
          <w:p w14:paraId="7EE068E3">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0224BB96">
            <w:pPr>
              <w:rPr>
                <w:sz w:val="24"/>
              </w:rPr>
            </w:pPr>
          </w:p>
        </w:tc>
      </w:tr>
      <w:tr w14:paraId="575DE9AB">
        <w:tblPrEx>
          <w:tblCellMar>
            <w:top w:w="0" w:type="dxa"/>
            <w:left w:w="0" w:type="dxa"/>
            <w:bottom w:w="0" w:type="dxa"/>
            <w:right w:w="0" w:type="dxa"/>
          </w:tblCellMar>
        </w:tblPrEx>
        <w:trPr>
          <w:trHeight w:val="560"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03B50EF1">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540AE59A">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1172BAC">
            <w:pPr>
              <w:rPr>
                <w:sz w:val="20"/>
                <w:szCs w:val="20"/>
              </w:rPr>
            </w:pPr>
            <w:r>
              <w:rPr>
                <w:rFonts w:hint="eastAsia" w:ascii="仿宋_GB2312" w:eastAsia="仿宋_GB2312"/>
                <w:sz w:val="20"/>
                <w:szCs w:val="20"/>
              </w:rPr>
              <w:t>（</w:t>
            </w:r>
            <w:r>
              <w:rPr>
                <w:sz w:val="20"/>
                <w:szCs w:val="20"/>
              </w:rPr>
              <w:t>34</w:t>
            </w:r>
            <w:r>
              <w:rPr>
                <w:rFonts w:hint="eastAsia" w:ascii="仿宋_GB2312" w:eastAsia="仿宋_GB2312"/>
                <w:sz w:val="20"/>
                <w:szCs w:val="20"/>
              </w:rPr>
              <w:t>）艺术教育发展年度报告</w:t>
            </w:r>
          </w:p>
        </w:tc>
        <w:tc>
          <w:tcPr>
            <w:tcW w:w="1446"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0F34073">
            <w:pPr>
              <w:rPr>
                <w:rFonts w:ascii="仿宋_GB2312" w:eastAsia="仿宋_GB2312"/>
                <w:sz w:val="20"/>
                <w:szCs w:val="20"/>
              </w:rPr>
            </w:pPr>
            <w:r>
              <w:rPr>
                <w:rFonts w:hint="eastAsia" w:ascii="仿宋_GB2312" w:eastAsia="仿宋_GB2312"/>
                <w:sz w:val="20"/>
                <w:szCs w:val="20"/>
              </w:rPr>
              <w:t>《学校艺术教育工作规程》（教育部令</w:t>
            </w:r>
            <w:r>
              <w:rPr>
                <w:sz w:val="20"/>
                <w:szCs w:val="20"/>
              </w:rPr>
              <w:t>13</w:t>
            </w:r>
            <w:r>
              <w:rPr>
                <w:rFonts w:hint="eastAsia" w:ascii="仿宋_GB2312" w:eastAsia="仿宋_GB2312"/>
                <w:sz w:val="20"/>
                <w:szCs w:val="20"/>
              </w:rPr>
              <w:t>号）</w:t>
            </w:r>
          </w:p>
          <w:p w14:paraId="7EFC42E1">
            <w:pPr>
              <w:rPr>
                <w:sz w:val="20"/>
                <w:szCs w:val="20"/>
              </w:rPr>
            </w:pPr>
            <w:r>
              <w:rPr>
                <w:rFonts w:hint="eastAsia" w:ascii="仿宋_GB2312" w:eastAsia="仿宋_GB2312"/>
                <w:sz w:val="20"/>
                <w:szCs w:val="20"/>
              </w:rPr>
              <w:t>《教育部关于推进学校艺术教育发展的若干意见》（教体艺〔</w:t>
            </w:r>
            <w:r>
              <w:rPr>
                <w:sz w:val="20"/>
                <w:szCs w:val="20"/>
              </w:rPr>
              <w:t>2014</w:t>
            </w:r>
            <w:r>
              <w:rPr>
                <w:rFonts w:hint="eastAsia" w:ascii="仿宋_GB2312" w:eastAsia="仿宋_GB2312"/>
                <w:sz w:val="20"/>
                <w:szCs w:val="20"/>
              </w:rPr>
              <w:t>〕</w:t>
            </w:r>
            <w:r>
              <w:rPr>
                <w:sz w:val="20"/>
                <w:szCs w:val="20"/>
              </w:rPr>
              <w:t>1</w:t>
            </w:r>
            <w:r>
              <w:rPr>
                <w:rFonts w:hint="eastAsia" w:ascii="仿宋_GB2312" w:eastAsia="仿宋_GB2312"/>
                <w:sz w:val="20"/>
                <w:szCs w:val="20"/>
              </w:rPr>
              <w:t>号）</w:t>
            </w: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E9EC067">
            <w:pPr>
              <w:jc w:val="center"/>
              <w:rPr>
                <w:rFonts w:ascii="宋体" w:hAnsi="宋体" w:cs="宋体"/>
                <w:sz w:val="20"/>
                <w:szCs w:val="20"/>
              </w:rPr>
            </w:pPr>
            <w:r>
              <w:rPr>
                <w:rFonts w:hint="eastAsia"/>
                <w:sz w:val="20"/>
                <w:szCs w:val="20"/>
              </w:rPr>
              <w:t>教务处</w:t>
            </w: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B480344">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CRP</w:t>
            </w:r>
            <w:r>
              <w:rPr>
                <w:sz w:val="20"/>
                <w:szCs w:val="20"/>
              </w:rPr>
              <w:t>系统</w:t>
            </w:r>
          </w:p>
          <w:p w14:paraId="34B204FF">
            <w:pPr>
              <w:jc w:val="center"/>
              <w:rPr>
                <w:sz w:val="20"/>
                <w:szCs w:val="20"/>
              </w:rPr>
            </w:pPr>
            <w:r>
              <w:rPr>
                <w:sz w:val="20"/>
                <w:szCs w:val="20"/>
              </w:rPr>
              <w:t>http://crp.tsgzy.edu.cn/oa/Index.aspx /</w:t>
            </w:r>
          </w:p>
        </w:tc>
        <w:tc>
          <w:tcPr>
            <w:tcW w:w="321" w:type="pct"/>
            <w:vMerge w:val="continue"/>
            <w:tcBorders>
              <w:top w:val="nil"/>
              <w:left w:val="single" w:color="auto" w:sz="4" w:space="0"/>
              <w:bottom w:val="single" w:color="000000" w:sz="4" w:space="0"/>
              <w:right w:val="single" w:color="auto" w:sz="4" w:space="0"/>
            </w:tcBorders>
            <w:vAlign w:val="center"/>
          </w:tcPr>
          <w:p w14:paraId="2C767471">
            <w:pPr>
              <w:rPr>
                <w:sz w:val="24"/>
              </w:rPr>
            </w:pPr>
          </w:p>
        </w:tc>
      </w:tr>
      <w:tr w14:paraId="064A3DC0">
        <w:tblPrEx>
          <w:tblCellMar>
            <w:top w:w="0" w:type="dxa"/>
            <w:left w:w="0" w:type="dxa"/>
            <w:bottom w:w="0" w:type="dxa"/>
            <w:right w:w="0" w:type="dxa"/>
          </w:tblCellMar>
        </w:tblPrEx>
        <w:trPr>
          <w:trHeight w:val="870"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48DA1E10">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72C01697">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E2F8355">
            <w:pPr>
              <w:jc w:val="left"/>
              <w:rPr>
                <w:sz w:val="20"/>
                <w:szCs w:val="20"/>
              </w:rPr>
            </w:pPr>
            <w:r>
              <w:rPr>
                <w:rFonts w:hint="eastAsia" w:ascii="仿宋_GB2312" w:eastAsia="仿宋_GB2312"/>
                <w:sz w:val="20"/>
                <w:szCs w:val="20"/>
              </w:rPr>
              <w:t>（</w:t>
            </w:r>
            <w:r>
              <w:rPr>
                <w:sz w:val="20"/>
                <w:szCs w:val="20"/>
              </w:rPr>
              <w:t>35</w:t>
            </w:r>
            <w:r>
              <w:rPr>
                <w:rFonts w:hint="eastAsia" w:ascii="仿宋_GB2312" w:eastAsia="仿宋_GB2312"/>
                <w:sz w:val="20"/>
                <w:szCs w:val="20"/>
              </w:rPr>
              <w:t>）本科教学质量报告</w:t>
            </w:r>
          </w:p>
        </w:tc>
        <w:tc>
          <w:tcPr>
            <w:tcW w:w="1446"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FCE440D">
            <w:pPr>
              <w:rPr>
                <w:sz w:val="20"/>
                <w:szCs w:val="20"/>
              </w:rPr>
            </w:pPr>
            <w:r>
              <w:rPr>
                <w:rFonts w:hint="eastAsia" w:ascii="仿宋_GB2312" w:eastAsia="仿宋_GB2312"/>
                <w:sz w:val="20"/>
                <w:szCs w:val="20"/>
              </w:rPr>
              <w:t>《教育部办公厅关于普通高等学校编制发布</w:t>
            </w:r>
            <w:r>
              <w:rPr>
                <w:sz w:val="20"/>
                <w:szCs w:val="20"/>
              </w:rPr>
              <w:t>2012</w:t>
            </w:r>
            <w:r>
              <w:rPr>
                <w:rFonts w:hint="eastAsia" w:ascii="仿宋_GB2312" w:eastAsia="仿宋_GB2312"/>
                <w:sz w:val="20"/>
                <w:szCs w:val="20"/>
              </w:rPr>
              <w:t>年</w:t>
            </w:r>
            <w:r>
              <w:rPr>
                <w:sz w:val="20"/>
                <w:szCs w:val="20"/>
              </w:rPr>
              <w:t>&lt;</w:t>
            </w:r>
            <w:r>
              <w:rPr>
                <w:rFonts w:hint="eastAsia" w:ascii="仿宋_GB2312" w:eastAsia="仿宋_GB2312"/>
                <w:sz w:val="20"/>
                <w:szCs w:val="20"/>
              </w:rPr>
              <w:t>本科教学质量报告</w:t>
            </w:r>
            <w:r>
              <w:rPr>
                <w:sz w:val="20"/>
                <w:szCs w:val="20"/>
              </w:rPr>
              <w:t>&gt;</w:t>
            </w:r>
            <w:r>
              <w:rPr>
                <w:rFonts w:hint="eastAsia" w:ascii="仿宋_GB2312" w:eastAsia="仿宋_GB2312"/>
                <w:sz w:val="20"/>
                <w:szCs w:val="20"/>
              </w:rPr>
              <w:t>的通知》</w:t>
            </w:r>
            <w:r>
              <w:rPr>
                <w:sz w:val="20"/>
                <w:szCs w:val="20"/>
              </w:rPr>
              <w:t>(</w:t>
            </w:r>
            <w:r>
              <w:rPr>
                <w:rFonts w:hint="eastAsia" w:ascii="仿宋_GB2312" w:eastAsia="仿宋_GB2312"/>
                <w:sz w:val="20"/>
                <w:szCs w:val="20"/>
              </w:rPr>
              <w:t>教高厅函〔</w:t>
            </w:r>
            <w:r>
              <w:rPr>
                <w:sz w:val="20"/>
                <w:szCs w:val="20"/>
              </w:rPr>
              <w:t>2013</w:t>
            </w:r>
            <w:r>
              <w:rPr>
                <w:rFonts w:hint="eastAsia" w:ascii="仿宋_GB2312" w:eastAsia="仿宋_GB2312"/>
                <w:sz w:val="20"/>
                <w:szCs w:val="20"/>
              </w:rPr>
              <w:t>〕</w:t>
            </w:r>
            <w:r>
              <w:rPr>
                <w:sz w:val="20"/>
                <w:szCs w:val="20"/>
              </w:rPr>
              <w:t>33</w:t>
            </w:r>
            <w:r>
              <w:rPr>
                <w:rFonts w:hint="eastAsia" w:ascii="仿宋_GB2312" w:eastAsia="仿宋_GB2312"/>
                <w:sz w:val="20"/>
                <w:szCs w:val="20"/>
              </w:rPr>
              <w:t>号</w:t>
            </w:r>
            <w:r>
              <w:rPr>
                <w:sz w:val="20"/>
                <w:szCs w:val="20"/>
              </w:rPr>
              <w:t>)</w:t>
            </w: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71556F9">
            <w:pPr>
              <w:jc w:val="center"/>
              <w:rPr>
                <w:rFonts w:ascii="宋体" w:hAnsi="宋体" w:cs="宋体"/>
                <w:sz w:val="20"/>
                <w:szCs w:val="20"/>
              </w:rPr>
            </w:pPr>
            <w:r>
              <w:rPr>
                <w:rFonts w:hint="eastAsia"/>
                <w:sz w:val="20"/>
                <w:szCs w:val="20"/>
              </w:rPr>
              <w:t>——</w:t>
            </w: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8B68DC4">
            <w:pPr>
              <w:jc w:val="center"/>
              <w:rPr>
                <w:sz w:val="20"/>
                <w:szCs w:val="20"/>
              </w:rPr>
            </w:pPr>
            <w:r>
              <w:rPr>
                <w:sz w:val="20"/>
                <w:szCs w:val="20"/>
              </w:rPr>
              <w:t>　</w:t>
            </w:r>
          </w:p>
        </w:tc>
        <w:tc>
          <w:tcPr>
            <w:tcW w:w="321" w:type="pct"/>
            <w:vMerge w:val="continue"/>
            <w:tcBorders>
              <w:top w:val="nil"/>
              <w:left w:val="single" w:color="auto" w:sz="4" w:space="0"/>
              <w:bottom w:val="single" w:color="000000" w:sz="4" w:space="0"/>
              <w:right w:val="single" w:color="auto" w:sz="4" w:space="0"/>
            </w:tcBorders>
            <w:vAlign w:val="center"/>
          </w:tcPr>
          <w:p w14:paraId="5E693CB1">
            <w:pPr>
              <w:rPr>
                <w:sz w:val="24"/>
              </w:rPr>
            </w:pPr>
          </w:p>
        </w:tc>
      </w:tr>
      <w:tr w14:paraId="76DDF4C0">
        <w:tblPrEx>
          <w:tblCellMar>
            <w:top w:w="0" w:type="dxa"/>
            <w:left w:w="0" w:type="dxa"/>
            <w:bottom w:w="0" w:type="dxa"/>
            <w:right w:w="0" w:type="dxa"/>
          </w:tblCellMar>
        </w:tblPrEx>
        <w:trPr>
          <w:trHeight w:val="341" w:hRule="atLeast"/>
          <w:jc w:val="center"/>
        </w:trPr>
        <w:tc>
          <w:tcPr>
            <w:tcW w:w="150"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692FB45B">
            <w:pPr>
              <w:jc w:val="center"/>
              <w:rPr>
                <w:sz w:val="20"/>
                <w:szCs w:val="20"/>
              </w:rPr>
            </w:pPr>
            <w:r>
              <w:rPr>
                <w:sz w:val="20"/>
                <w:szCs w:val="20"/>
              </w:rPr>
              <w:t>6</w:t>
            </w:r>
          </w:p>
        </w:tc>
        <w:tc>
          <w:tcPr>
            <w:tcW w:w="375"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6626FD71">
            <w:pPr>
              <w:jc w:val="center"/>
              <w:rPr>
                <w:rFonts w:ascii="仿宋_GB2312" w:eastAsia="仿宋_GB2312"/>
                <w:sz w:val="20"/>
                <w:szCs w:val="20"/>
              </w:rPr>
            </w:pPr>
            <w:r>
              <w:rPr>
                <w:rFonts w:hint="eastAsia" w:ascii="仿宋_GB2312" w:eastAsia="仿宋_GB2312"/>
                <w:sz w:val="20"/>
                <w:szCs w:val="20"/>
              </w:rPr>
              <w:t>学生管理服务信息</w:t>
            </w:r>
          </w:p>
          <w:p w14:paraId="00D5D7F5">
            <w:pPr>
              <w:jc w:val="center"/>
              <w:rPr>
                <w:rFonts w:ascii="仿宋_GB2312" w:eastAsia="仿宋_GB2312"/>
                <w:sz w:val="20"/>
                <w:szCs w:val="20"/>
              </w:rPr>
            </w:pPr>
          </w:p>
          <w:p w14:paraId="26CA87CE">
            <w:pPr>
              <w:jc w:val="center"/>
              <w:rPr>
                <w:sz w:val="20"/>
                <w:szCs w:val="20"/>
              </w:rPr>
            </w:pPr>
            <w:r>
              <w:rPr>
                <w:rFonts w:hint="eastAsia" w:ascii="仿宋_GB2312" w:eastAsia="仿宋_GB2312"/>
                <w:sz w:val="20"/>
                <w:szCs w:val="20"/>
              </w:rPr>
              <w:t>（</w:t>
            </w:r>
            <w:r>
              <w:rPr>
                <w:sz w:val="20"/>
                <w:szCs w:val="20"/>
              </w:rPr>
              <w:t>4</w:t>
            </w:r>
            <w:r>
              <w:rPr>
                <w:rFonts w:hint="eastAsia" w:ascii="仿宋_GB2312" w:eastAsia="仿宋_GB2312"/>
                <w:sz w:val="20"/>
                <w:szCs w:val="20"/>
              </w:rPr>
              <w:t>项）</w:t>
            </w: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2C8AD59">
            <w:pPr>
              <w:jc w:val="left"/>
              <w:rPr>
                <w:sz w:val="20"/>
                <w:szCs w:val="20"/>
              </w:rPr>
            </w:pPr>
            <w:r>
              <w:rPr>
                <w:rFonts w:hint="eastAsia" w:ascii="仿宋_GB2312" w:eastAsia="仿宋_GB2312"/>
                <w:sz w:val="20"/>
                <w:szCs w:val="20"/>
              </w:rPr>
              <w:t>（</w:t>
            </w:r>
            <w:r>
              <w:rPr>
                <w:sz w:val="20"/>
                <w:szCs w:val="20"/>
              </w:rPr>
              <w:t>36</w:t>
            </w:r>
            <w:r>
              <w:rPr>
                <w:rFonts w:hint="eastAsia" w:ascii="仿宋_GB2312" w:eastAsia="仿宋_GB2312"/>
                <w:sz w:val="20"/>
                <w:szCs w:val="20"/>
              </w:rPr>
              <w:t>）学籍管理办法</w:t>
            </w:r>
          </w:p>
        </w:tc>
        <w:tc>
          <w:tcPr>
            <w:tcW w:w="1446"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27AF0790">
            <w:pPr>
              <w:rPr>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p>
        </w:tc>
        <w:tc>
          <w:tcPr>
            <w:tcW w:w="558"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00C1E167">
            <w:pPr>
              <w:jc w:val="center"/>
              <w:rPr>
                <w:rFonts w:ascii="宋体" w:hAnsi="宋体" w:cs="宋体"/>
                <w:sz w:val="20"/>
                <w:szCs w:val="20"/>
              </w:rPr>
            </w:pPr>
            <w:r>
              <w:rPr>
                <w:rFonts w:hint="eastAsia"/>
                <w:sz w:val="20"/>
                <w:szCs w:val="20"/>
              </w:rPr>
              <w:t>学生处</w:t>
            </w:r>
          </w:p>
        </w:tc>
        <w:tc>
          <w:tcPr>
            <w:tcW w:w="699"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28F0E7D6">
            <w:pPr>
              <w:jc w:val="center"/>
              <w:rPr>
                <w:sz w:val="20"/>
                <w:szCs w:val="20"/>
              </w:rPr>
            </w:pPr>
            <w:r>
              <w:rPr>
                <w:rFonts w:hint="eastAsia"/>
                <w:sz w:val="20"/>
                <w:szCs w:val="20"/>
                <w:lang w:eastAsia="zh-CN"/>
              </w:rPr>
              <w:t>唐山工业职业技术大学</w:t>
            </w:r>
            <w:r>
              <w:rPr>
                <w:rFonts w:hint="eastAsia"/>
                <w:sz w:val="20"/>
                <w:szCs w:val="20"/>
              </w:rPr>
              <w:t>学生</w:t>
            </w:r>
            <w:r>
              <w:rPr>
                <w:sz w:val="20"/>
                <w:szCs w:val="20"/>
              </w:rPr>
              <w:t>工作处</w:t>
            </w:r>
          </w:p>
          <w:p w14:paraId="3CFAD828">
            <w:pPr>
              <w:jc w:val="center"/>
              <w:rPr>
                <w:sz w:val="20"/>
                <w:szCs w:val="20"/>
              </w:rPr>
            </w:pPr>
            <w:r>
              <w:rPr>
                <w:sz w:val="20"/>
                <w:szCs w:val="20"/>
              </w:rPr>
              <w:t>http://xsc.tsgzy.edu.cn/col/1478598063867/index.html</w:t>
            </w:r>
          </w:p>
        </w:tc>
        <w:tc>
          <w:tcPr>
            <w:tcW w:w="321"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7E434C95">
            <w:pPr>
              <w:jc w:val="center"/>
              <w:rPr>
                <w:sz w:val="24"/>
              </w:rPr>
            </w:pPr>
            <w:r>
              <w:rPr>
                <w:rFonts w:hint="eastAsia"/>
              </w:rPr>
              <w:t>202</w:t>
            </w:r>
            <w:r>
              <w:rPr>
                <w:rFonts w:hint="eastAsia"/>
                <w:lang w:val="en-US" w:eastAsia="zh-CN"/>
              </w:rPr>
              <w:t>5</w:t>
            </w:r>
            <w:r>
              <w:t>.8.31</w:t>
            </w:r>
          </w:p>
        </w:tc>
      </w:tr>
      <w:tr w14:paraId="7990B1F3">
        <w:tblPrEx>
          <w:tblCellMar>
            <w:top w:w="0" w:type="dxa"/>
            <w:left w:w="0" w:type="dxa"/>
            <w:bottom w:w="0" w:type="dxa"/>
            <w:right w:w="0" w:type="dxa"/>
          </w:tblCellMar>
        </w:tblPrEx>
        <w:trPr>
          <w:trHeight w:val="702"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3C035712">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673027FA">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D7A84E0">
            <w:pPr>
              <w:jc w:val="left"/>
              <w:rPr>
                <w:sz w:val="20"/>
                <w:szCs w:val="20"/>
              </w:rPr>
            </w:pPr>
            <w:r>
              <w:rPr>
                <w:rFonts w:hint="eastAsia" w:ascii="仿宋_GB2312" w:eastAsia="仿宋_GB2312"/>
                <w:sz w:val="20"/>
                <w:szCs w:val="20"/>
              </w:rPr>
              <w:t>（</w:t>
            </w:r>
            <w:r>
              <w:rPr>
                <w:sz w:val="20"/>
                <w:szCs w:val="20"/>
              </w:rPr>
              <w:t>37</w:t>
            </w:r>
            <w:r>
              <w:rPr>
                <w:rFonts w:hint="eastAsia" w:ascii="仿宋_GB2312" w:eastAsia="仿宋_GB2312"/>
                <w:sz w:val="20"/>
                <w:szCs w:val="20"/>
              </w:rPr>
              <w:t>）学生奖学金、助学金、学费减免、助学贷款、勤工俭学的申请与管理规定</w:t>
            </w:r>
          </w:p>
        </w:tc>
        <w:tc>
          <w:tcPr>
            <w:tcW w:w="1446" w:type="pct"/>
            <w:vMerge w:val="continue"/>
            <w:tcBorders>
              <w:top w:val="nil"/>
              <w:left w:val="single" w:color="auto" w:sz="4" w:space="0"/>
              <w:bottom w:val="single" w:color="000000" w:sz="4" w:space="0"/>
              <w:right w:val="single" w:color="auto" w:sz="4" w:space="0"/>
            </w:tcBorders>
            <w:vAlign w:val="center"/>
          </w:tcPr>
          <w:p w14:paraId="20486429">
            <w:pPr>
              <w:rPr>
                <w:sz w:val="20"/>
                <w:szCs w:val="20"/>
              </w:rPr>
            </w:pPr>
          </w:p>
        </w:tc>
        <w:tc>
          <w:tcPr>
            <w:tcW w:w="558" w:type="pct"/>
            <w:vMerge w:val="continue"/>
            <w:tcBorders>
              <w:top w:val="nil"/>
              <w:left w:val="single" w:color="auto" w:sz="4" w:space="0"/>
              <w:bottom w:val="single" w:color="000000" w:sz="4" w:space="0"/>
              <w:right w:val="single" w:color="auto" w:sz="4" w:space="0"/>
            </w:tcBorders>
            <w:vAlign w:val="center"/>
          </w:tcPr>
          <w:p w14:paraId="14374A1F">
            <w:pPr>
              <w:rPr>
                <w:rFonts w:ascii="宋体" w:hAnsi="宋体" w:cs="宋体"/>
                <w:sz w:val="20"/>
                <w:szCs w:val="20"/>
              </w:rPr>
            </w:pPr>
          </w:p>
        </w:tc>
        <w:tc>
          <w:tcPr>
            <w:tcW w:w="699" w:type="pct"/>
            <w:vMerge w:val="continue"/>
            <w:tcBorders>
              <w:top w:val="nil"/>
              <w:left w:val="single" w:color="auto" w:sz="4" w:space="0"/>
              <w:bottom w:val="single" w:color="000000" w:sz="4" w:space="0"/>
              <w:right w:val="single" w:color="auto" w:sz="4" w:space="0"/>
            </w:tcBorders>
            <w:vAlign w:val="center"/>
          </w:tcPr>
          <w:p w14:paraId="282336D8">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69FBBD0E">
            <w:pPr>
              <w:rPr>
                <w:sz w:val="24"/>
              </w:rPr>
            </w:pPr>
          </w:p>
        </w:tc>
      </w:tr>
      <w:tr w14:paraId="48A1B509">
        <w:tblPrEx>
          <w:tblCellMar>
            <w:top w:w="0" w:type="dxa"/>
            <w:left w:w="0" w:type="dxa"/>
            <w:bottom w:w="0" w:type="dxa"/>
            <w:right w:w="0" w:type="dxa"/>
          </w:tblCellMar>
        </w:tblPrEx>
        <w:trPr>
          <w:trHeight w:val="337"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3F07BEC0">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272D8ED0">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9CC8AD8">
            <w:pPr>
              <w:rPr>
                <w:sz w:val="20"/>
                <w:szCs w:val="20"/>
              </w:rPr>
            </w:pPr>
            <w:r>
              <w:rPr>
                <w:rFonts w:hint="eastAsia" w:ascii="仿宋_GB2312" w:eastAsia="仿宋_GB2312"/>
                <w:sz w:val="20"/>
                <w:szCs w:val="20"/>
              </w:rPr>
              <w:t>（</w:t>
            </w:r>
            <w:r>
              <w:rPr>
                <w:sz w:val="20"/>
                <w:szCs w:val="20"/>
              </w:rPr>
              <w:t>38</w:t>
            </w:r>
            <w:r>
              <w:rPr>
                <w:rFonts w:hint="eastAsia" w:ascii="仿宋_GB2312" w:eastAsia="仿宋_GB2312"/>
                <w:sz w:val="20"/>
                <w:szCs w:val="20"/>
              </w:rPr>
              <w:t>）学生奖励处罚办法</w:t>
            </w:r>
          </w:p>
        </w:tc>
        <w:tc>
          <w:tcPr>
            <w:tcW w:w="1446"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6F74CAB">
            <w:pPr>
              <w:rPr>
                <w:sz w:val="20"/>
                <w:szCs w:val="20"/>
              </w:rPr>
            </w:pPr>
            <w:r>
              <w:rPr>
                <w:rFonts w:hint="eastAsia" w:ascii="仿宋_GB2312" w:eastAsia="仿宋_GB2312"/>
                <w:sz w:val="20"/>
                <w:szCs w:val="20"/>
              </w:rPr>
              <w:t>《普通高等学校学生管理规定》（教育部令第</w:t>
            </w:r>
            <w:r>
              <w:rPr>
                <w:sz w:val="20"/>
                <w:szCs w:val="20"/>
              </w:rPr>
              <w:t>21</w:t>
            </w:r>
            <w:r>
              <w:rPr>
                <w:rFonts w:hint="eastAsia" w:ascii="仿宋_GB2312" w:eastAsia="仿宋_GB2312"/>
                <w:sz w:val="20"/>
                <w:szCs w:val="20"/>
              </w:rPr>
              <w:t>号）</w:t>
            </w:r>
          </w:p>
        </w:tc>
        <w:tc>
          <w:tcPr>
            <w:tcW w:w="558" w:type="pct"/>
            <w:vMerge w:val="continue"/>
            <w:tcBorders>
              <w:top w:val="nil"/>
              <w:left w:val="single" w:color="auto" w:sz="4" w:space="0"/>
              <w:bottom w:val="single" w:color="000000" w:sz="4" w:space="0"/>
              <w:right w:val="single" w:color="auto" w:sz="4" w:space="0"/>
            </w:tcBorders>
            <w:vAlign w:val="center"/>
          </w:tcPr>
          <w:p w14:paraId="684531E8">
            <w:pPr>
              <w:rPr>
                <w:rFonts w:ascii="宋体" w:hAnsi="宋体" w:cs="宋体"/>
                <w:sz w:val="20"/>
                <w:szCs w:val="20"/>
              </w:rPr>
            </w:pPr>
          </w:p>
        </w:tc>
        <w:tc>
          <w:tcPr>
            <w:tcW w:w="699" w:type="pct"/>
            <w:vMerge w:val="continue"/>
            <w:tcBorders>
              <w:top w:val="nil"/>
              <w:left w:val="single" w:color="auto" w:sz="4" w:space="0"/>
              <w:bottom w:val="single" w:color="000000" w:sz="4" w:space="0"/>
              <w:right w:val="single" w:color="auto" w:sz="4" w:space="0"/>
            </w:tcBorders>
            <w:vAlign w:val="center"/>
          </w:tcPr>
          <w:p w14:paraId="41987FCD">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126BB23E">
            <w:pPr>
              <w:rPr>
                <w:sz w:val="24"/>
              </w:rPr>
            </w:pPr>
          </w:p>
        </w:tc>
      </w:tr>
      <w:tr w14:paraId="1628A2F6">
        <w:tblPrEx>
          <w:tblCellMar>
            <w:top w:w="0" w:type="dxa"/>
            <w:left w:w="0" w:type="dxa"/>
            <w:bottom w:w="0" w:type="dxa"/>
            <w:right w:w="0" w:type="dxa"/>
          </w:tblCellMar>
        </w:tblPrEx>
        <w:trPr>
          <w:trHeight w:val="260"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7EAB032A">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01A56DDA">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27406F5">
            <w:pPr>
              <w:rPr>
                <w:sz w:val="20"/>
                <w:szCs w:val="20"/>
              </w:rPr>
            </w:pPr>
            <w:r>
              <w:rPr>
                <w:rFonts w:hint="eastAsia" w:ascii="仿宋_GB2312" w:eastAsia="仿宋_GB2312"/>
                <w:sz w:val="20"/>
                <w:szCs w:val="20"/>
              </w:rPr>
              <w:t>（</w:t>
            </w:r>
            <w:r>
              <w:rPr>
                <w:sz w:val="20"/>
                <w:szCs w:val="20"/>
              </w:rPr>
              <w:t>39</w:t>
            </w:r>
            <w:r>
              <w:rPr>
                <w:rFonts w:hint="eastAsia" w:ascii="仿宋_GB2312" w:eastAsia="仿宋_GB2312"/>
                <w:sz w:val="20"/>
                <w:szCs w:val="20"/>
              </w:rPr>
              <w:t>）学生申诉办法</w:t>
            </w:r>
          </w:p>
        </w:tc>
        <w:tc>
          <w:tcPr>
            <w:tcW w:w="1446"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83BB8C6">
            <w:pPr>
              <w:rPr>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p>
        </w:tc>
        <w:tc>
          <w:tcPr>
            <w:tcW w:w="558" w:type="pct"/>
            <w:vMerge w:val="continue"/>
            <w:tcBorders>
              <w:top w:val="nil"/>
              <w:left w:val="single" w:color="auto" w:sz="4" w:space="0"/>
              <w:bottom w:val="single" w:color="000000" w:sz="4" w:space="0"/>
              <w:right w:val="single" w:color="auto" w:sz="4" w:space="0"/>
            </w:tcBorders>
            <w:vAlign w:val="center"/>
          </w:tcPr>
          <w:p w14:paraId="262C6C15">
            <w:pPr>
              <w:rPr>
                <w:rFonts w:ascii="宋体" w:hAnsi="宋体" w:cs="宋体"/>
                <w:sz w:val="20"/>
                <w:szCs w:val="20"/>
              </w:rPr>
            </w:pPr>
          </w:p>
        </w:tc>
        <w:tc>
          <w:tcPr>
            <w:tcW w:w="699" w:type="pct"/>
            <w:vMerge w:val="continue"/>
            <w:tcBorders>
              <w:top w:val="nil"/>
              <w:left w:val="single" w:color="auto" w:sz="4" w:space="0"/>
              <w:bottom w:val="single" w:color="000000" w:sz="4" w:space="0"/>
              <w:right w:val="single" w:color="auto" w:sz="4" w:space="0"/>
            </w:tcBorders>
            <w:vAlign w:val="center"/>
          </w:tcPr>
          <w:p w14:paraId="113B27B1">
            <w:pPr>
              <w:rPr>
                <w:rFonts w:ascii="宋体" w:hAnsi="宋体" w:cs="宋体"/>
                <w:sz w:val="20"/>
                <w:szCs w:val="20"/>
              </w:rPr>
            </w:pPr>
          </w:p>
        </w:tc>
        <w:tc>
          <w:tcPr>
            <w:tcW w:w="321" w:type="pct"/>
            <w:vMerge w:val="continue"/>
            <w:tcBorders>
              <w:top w:val="nil"/>
              <w:left w:val="single" w:color="auto" w:sz="4" w:space="0"/>
              <w:bottom w:val="single" w:color="000000" w:sz="4" w:space="0"/>
              <w:right w:val="single" w:color="auto" w:sz="4" w:space="0"/>
            </w:tcBorders>
            <w:vAlign w:val="center"/>
          </w:tcPr>
          <w:p w14:paraId="256E5E69">
            <w:pPr>
              <w:rPr>
                <w:sz w:val="24"/>
              </w:rPr>
            </w:pPr>
          </w:p>
        </w:tc>
      </w:tr>
      <w:tr w14:paraId="3A6A7925">
        <w:tblPrEx>
          <w:tblCellMar>
            <w:top w:w="0" w:type="dxa"/>
            <w:left w:w="0" w:type="dxa"/>
            <w:bottom w:w="0" w:type="dxa"/>
            <w:right w:w="0" w:type="dxa"/>
          </w:tblCellMar>
        </w:tblPrEx>
        <w:trPr>
          <w:trHeight w:val="142" w:hRule="atLeast"/>
          <w:jc w:val="center"/>
        </w:trPr>
        <w:tc>
          <w:tcPr>
            <w:tcW w:w="150"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30006F6A">
            <w:pPr>
              <w:jc w:val="center"/>
              <w:rPr>
                <w:sz w:val="20"/>
                <w:szCs w:val="20"/>
              </w:rPr>
            </w:pPr>
            <w:r>
              <w:rPr>
                <w:sz w:val="20"/>
                <w:szCs w:val="20"/>
              </w:rPr>
              <w:t>7</w:t>
            </w:r>
          </w:p>
        </w:tc>
        <w:tc>
          <w:tcPr>
            <w:tcW w:w="375"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1BBF0A41">
            <w:pPr>
              <w:jc w:val="center"/>
              <w:rPr>
                <w:rFonts w:ascii="仿宋_GB2312" w:eastAsia="仿宋_GB2312"/>
                <w:sz w:val="20"/>
                <w:szCs w:val="20"/>
              </w:rPr>
            </w:pPr>
            <w:r>
              <w:rPr>
                <w:rFonts w:hint="eastAsia" w:ascii="仿宋_GB2312" w:eastAsia="仿宋_GB2312"/>
                <w:sz w:val="20"/>
                <w:szCs w:val="20"/>
              </w:rPr>
              <w:t>学风建设信息</w:t>
            </w:r>
          </w:p>
          <w:p w14:paraId="0AF923CD">
            <w:pPr>
              <w:jc w:val="center"/>
              <w:rPr>
                <w:sz w:val="20"/>
                <w:szCs w:val="20"/>
              </w:rPr>
            </w:pPr>
            <w:r>
              <w:rPr>
                <w:rFonts w:hint="eastAsia" w:ascii="仿宋_GB2312" w:eastAsia="仿宋_GB2312"/>
                <w:sz w:val="20"/>
                <w:szCs w:val="20"/>
              </w:rPr>
              <w:t>（</w:t>
            </w:r>
            <w:r>
              <w:rPr>
                <w:sz w:val="20"/>
                <w:szCs w:val="20"/>
              </w:rPr>
              <w:t>3</w:t>
            </w:r>
            <w:r>
              <w:rPr>
                <w:rFonts w:hint="eastAsia" w:ascii="仿宋_GB2312" w:eastAsia="仿宋_GB2312"/>
                <w:sz w:val="20"/>
                <w:szCs w:val="20"/>
              </w:rPr>
              <w:t>项）</w:t>
            </w: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2DF2E31">
            <w:pPr>
              <w:jc w:val="left"/>
              <w:rPr>
                <w:sz w:val="20"/>
                <w:szCs w:val="20"/>
              </w:rPr>
            </w:pPr>
            <w:r>
              <w:rPr>
                <w:rFonts w:hint="eastAsia" w:ascii="仿宋_GB2312" w:eastAsia="仿宋_GB2312"/>
                <w:sz w:val="20"/>
                <w:szCs w:val="20"/>
              </w:rPr>
              <w:t>（</w:t>
            </w:r>
            <w:r>
              <w:rPr>
                <w:sz w:val="20"/>
                <w:szCs w:val="20"/>
              </w:rPr>
              <w:t>40</w:t>
            </w:r>
            <w:r>
              <w:rPr>
                <w:rFonts w:hint="eastAsia" w:ascii="仿宋_GB2312" w:eastAsia="仿宋_GB2312"/>
                <w:sz w:val="20"/>
                <w:szCs w:val="20"/>
              </w:rPr>
              <w:t>）学风建设机构</w:t>
            </w:r>
          </w:p>
        </w:tc>
        <w:tc>
          <w:tcPr>
            <w:tcW w:w="1446"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16FBC28E">
            <w:pPr>
              <w:rPr>
                <w:sz w:val="20"/>
                <w:szCs w:val="20"/>
              </w:rPr>
            </w:pPr>
            <w:r>
              <w:rPr>
                <w:rFonts w:hint="eastAsia" w:ascii="仿宋_GB2312" w:eastAsia="仿宋_GB2312"/>
                <w:sz w:val="20"/>
                <w:szCs w:val="20"/>
              </w:rPr>
              <w:t>《教育部关于切实加强和改进高等学校学风建设的实施意见》（教技〔</w:t>
            </w:r>
            <w:r>
              <w:rPr>
                <w:sz w:val="20"/>
                <w:szCs w:val="20"/>
              </w:rPr>
              <w:t>2011</w:t>
            </w:r>
            <w:r>
              <w:rPr>
                <w:rFonts w:hint="eastAsia" w:ascii="仿宋_GB2312" w:eastAsia="仿宋_GB2312"/>
                <w:sz w:val="20"/>
                <w:szCs w:val="20"/>
              </w:rPr>
              <w:t>〕</w:t>
            </w:r>
            <w:r>
              <w:rPr>
                <w:sz w:val="20"/>
                <w:szCs w:val="20"/>
              </w:rPr>
              <w:t>1</w:t>
            </w:r>
            <w:r>
              <w:rPr>
                <w:rFonts w:hint="eastAsia" w:ascii="仿宋_GB2312" w:eastAsia="仿宋_GB2312"/>
                <w:sz w:val="20"/>
                <w:szCs w:val="20"/>
              </w:rPr>
              <w:t>号）</w:t>
            </w: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3637044">
            <w:pPr>
              <w:jc w:val="center"/>
              <w:rPr>
                <w:rFonts w:ascii="宋体" w:hAnsi="宋体" w:cs="宋体"/>
                <w:sz w:val="20"/>
                <w:szCs w:val="20"/>
              </w:rPr>
            </w:pPr>
            <w:r>
              <w:rPr>
                <w:rFonts w:hint="eastAsia"/>
                <w:sz w:val="20"/>
                <w:szCs w:val="20"/>
              </w:rPr>
              <w:t>学生处</w:t>
            </w:r>
          </w:p>
        </w:tc>
        <w:tc>
          <w:tcPr>
            <w:tcW w:w="699" w:type="pc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28D6C0C3">
            <w:pPr>
              <w:jc w:val="center"/>
              <w:rPr>
                <w:sz w:val="20"/>
                <w:szCs w:val="20"/>
              </w:rPr>
            </w:pPr>
            <w:r>
              <w:rPr>
                <w:rFonts w:hint="eastAsia"/>
                <w:sz w:val="20"/>
                <w:szCs w:val="20"/>
                <w:lang w:eastAsia="zh-CN"/>
              </w:rPr>
              <w:t>唐山工业职业技术大学</w:t>
            </w:r>
            <w:r>
              <w:rPr>
                <w:rFonts w:hint="eastAsia"/>
                <w:sz w:val="20"/>
                <w:szCs w:val="20"/>
              </w:rPr>
              <w:t>学生</w:t>
            </w:r>
            <w:r>
              <w:rPr>
                <w:sz w:val="20"/>
                <w:szCs w:val="20"/>
              </w:rPr>
              <w:t>工作处</w:t>
            </w:r>
          </w:p>
          <w:p w14:paraId="51ADCD6F">
            <w:pPr>
              <w:jc w:val="center"/>
              <w:rPr>
                <w:sz w:val="20"/>
                <w:szCs w:val="20"/>
              </w:rPr>
            </w:pPr>
            <w:r>
              <w:rPr>
                <w:sz w:val="20"/>
                <w:szCs w:val="20"/>
              </w:rPr>
              <w:t>http://xsc.tsgzy.edu.cn/col/1478598063867/index.html</w:t>
            </w:r>
          </w:p>
        </w:tc>
        <w:tc>
          <w:tcPr>
            <w:tcW w:w="321"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13AEF7F0">
            <w:pPr>
              <w:jc w:val="center"/>
              <w:rPr>
                <w:sz w:val="24"/>
              </w:rPr>
            </w:pPr>
            <w:r>
              <w:rPr>
                <w:rFonts w:hint="eastAsia"/>
              </w:rPr>
              <w:t>202</w:t>
            </w:r>
            <w:r>
              <w:rPr>
                <w:rFonts w:hint="eastAsia"/>
                <w:lang w:val="en-US" w:eastAsia="zh-CN"/>
              </w:rPr>
              <w:t>5</w:t>
            </w:r>
            <w:r>
              <w:t>.8.31</w:t>
            </w:r>
          </w:p>
        </w:tc>
      </w:tr>
      <w:tr w14:paraId="4378944A">
        <w:tblPrEx>
          <w:tblCellMar>
            <w:top w:w="0" w:type="dxa"/>
            <w:left w:w="0" w:type="dxa"/>
            <w:bottom w:w="0" w:type="dxa"/>
            <w:right w:w="0" w:type="dxa"/>
          </w:tblCellMar>
        </w:tblPrEx>
        <w:trPr>
          <w:trHeight w:val="219"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21B65ACF">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6BC66CEC">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64D7CA4">
            <w:pPr>
              <w:jc w:val="left"/>
              <w:rPr>
                <w:sz w:val="20"/>
                <w:szCs w:val="20"/>
              </w:rPr>
            </w:pPr>
            <w:r>
              <w:rPr>
                <w:rFonts w:hint="eastAsia" w:ascii="仿宋_GB2312" w:eastAsia="仿宋_GB2312"/>
                <w:sz w:val="20"/>
                <w:szCs w:val="20"/>
              </w:rPr>
              <w:t>（</w:t>
            </w:r>
            <w:r>
              <w:rPr>
                <w:sz w:val="20"/>
                <w:szCs w:val="20"/>
              </w:rPr>
              <w:t>41</w:t>
            </w:r>
            <w:r>
              <w:rPr>
                <w:rFonts w:hint="eastAsia" w:ascii="仿宋_GB2312" w:eastAsia="仿宋_GB2312"/>
                <w:sz w:val="20"/>
                <w:szCs w:val="20"/>
              </w:rPr>
              <w:t>）学术规范制度</w:t>
            </w:r>
          </w:p>
        </w:tc>
        <w:tc>
          <w:tcPr>
            <w:tcW w:w="1446" w:type="pct"/>
            <w:vMerge w:val="continue"/>
            <w:tcBorders>
              <w:top w:val="nil"/>
              <w:left w:val="single" w:color="auto" w:sz="4" w:space="0"/>
              <w:bottom w:val="single" w:color="000000" w:sz="4" w:space="0"/>
              <w:right w:val="single" w:color="auto" w:sz="4" w:space="0"/>
            </w:tcBorders>
            <w:vAlign w:val="center"/>
          </w:tcPr>
          <w:p w14:paraId="55B3706D">
            <w:pPr>
              <w:rPr>
                <w:sz w:val="20"/>
                <w:szCs w:val="20"/>
              </w:rPr>
            </w:pP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FECDF0F">
            <w:pPr>
              <w:jc w:val="center"/>
              <w:rPr>
                <w:rFonts w:ascii="宋体" w:hAnsi="宋体" w:cs="宋体"/>
                <w:sz w:val="20"/>
                <w:szCs w:val="20"/>
              </w:rPr>
            </w:pPr>
            <w:r>
              <w:rPr>
                <w:rFonts w:hint="eastAsia"/>
                <w:sz w:val="20"/>
                <w:szCs w:val="20"/>
              </w:rPr>
              <w:t>教务处</w:t>
            </w:r>
          </w:p>
        </w:tc>
        <w:tc>
          <w:tcPr>
            <w:tcW w:w="699" w:type="pct"/>
            <w:tcBorders>
              <w:top w:val="nil"/>
              <w:left w:val="single" w:color="auto" w:sz="4" w:space="0"/>
              <w:bottom w:val="single" w:color="000000" w:sz="4" w:space="0"/>
              <w:right w:val="single" w:color="auto" w:sz="4" w:space="0"/>
            </w:tcBorders>
            <w:shd w:val="clear" w:color="auto" w:fill="auto"/>
            <w:vAlign w:val="center"/>
          </w:tcPr>
          <w:p w14:paraId="1D363E02">
            <w:pPr>
              <w:jc w:val="center"/>
              <w:rPr>
                <w:sz w:val="20"/>
                <w:szCs w:val="20"/>
              </w:rPr>
            </w:pPr>
            <w:r>
              <w:rPr>
                <w:rFonts w:hint="eastAsia"/>
                <w:sz w:val="20"/>
                <w:szCs w:val="20"/>
                <w:lang w:eastAsia="zh-CN"/>
              </w:rPr>
              <w:t>唐山工业职业技术大学</w:t>
            </w:r>
            <w:r>
              <w:rPr>
                <w:rFonts w:hint="eastAsia"/>
                <w:sz w:val="20"/>
                <w:szCs w:val="20"/>
              </w:rPr>
              <w:t>教务处</w:t>
            </w:r>
          </w:p>
          <w:p w14:paraId="44F59A5C">
            <w:pPr>
              <w:jc w:val="center"/>
              <w:rPr>
                <w:rFonts w:ascii="宋体" w:hAnsi="宋体" w:cs="宋体"/>
                <w:sz w:val="20"/>
                <w:szCs w:val="20"/>
              </w:rPr>
            </w:pPr>
            <w:r>
              <w:rPr>
                <w:sz w:val="20"/>
                <w:szCs w:val="20"/>
              </w:rPr>
              <w:t>http://jwc.tsgzy.edu.cn/</w:t>
            </w:r>
          </w:p>
        </w:tc>
        <w:tc>
          <w:tcPr>
            <w:tcW w:w="321" w:type="pct"/>
            <w:vMerge w:val="continue"/>
            <w:tcBorders>
              <w:top w:val="nil"/>
              <w:left w:val="single" w:color="auto" w:sz="4" w:space="0"/>
              <w:bottom w:val="single" w:color="000000" w:sz="4" w:space="0"/>
              <w:right w:val="single" w:color="auto" w:sz="4" w:space="0"/>
            </w:tcBorders>
            <w:vAlign w:val="center"/>
          </w:tcPr>
          <w:p w14:paraId="1D2F87C7">
            <w:pPr>
              <w:rPr>
                <w:rFonts w:ascii="仿宋_GB2312" w:hAnsi="宋体" w:eastAsia="仿宋_GB2312" w:cs="宋体"/>
                <w:sz w:val="24"/>
              </w:rPr>
            </w:pPr>
          </w:p>
        </w:tc>
      </w:tr>
      <w:tr w14:paraId="04A10CB3">
        <w:tblPrEx>
          <w:tblCellMar>
            <w:top w:w="0" w:type="dxa"/>
            <w:left w:w="0" w:type="dxa"/>
            <w:bottom w:w="0" w:type="dxa"/>
            <w:right w:w="0" w:type="dxa"/>
          </w:tblCellMar>
        </w:tblPrEx>
        <w:trPr>
          <w:trHeight w:val="115"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03DDC12A">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6D481969">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203B0FB">
            <w:pPr>
              <w:jc w:val="left"/>
              <w:rPr>
                <w:sz w:val="20"/>
                <w:szCs w:val="20"/>
              </w:rPr>
            </w:pPr>
            <w:r>
              <w:rPr>
                <w:rFonts w:hint="eastAsia" w:ascii="仿宋_GB2312" w:eastAsia="仿宋_GB2312"/>
                <w:sz w:val="20"/>
                <w:szCs w:val="20"/>
              </w:rPr>
              <w:t>（</w:t>
            </w:r>
            <w:r>
              <w:rPr>
                <w:sz w:val="20"/>
                <w:szCs w:val="20"/>
              </w:rPr>
              <w:t>42</w:t>
            </w:r>
            <w:r>
              <w:rPr>
                <w:rFonts w:hint="eastAsia" w:ascii="仿宋_GB2312" w:eastAsia="仿宋_GB2312"/>
                <w:sz w:val="20"/>
                <w:szCs w:val="20"/>
              </w:rPr>
              <w:t>）学术不端行为查处机制</w:t>
            </w:r>
          </w:p>
        </w:tc>
        <w:tc>
          <w:tcPr>
            <w:tcW w:w="1446" w:type="pct"/>
            <w:vMerge w:val="continue"/>
            <w:tcBorders>
              <w:top w:val="nil"/>
              <w:left w:val="single" w:color="auto" w:sz="4" w:space="0"/>
              <w:bottom w:val="single" w:color="000000" w:sz="4" w:space="0"/>
              <w:right w:val="single" w:color="auto" w:sz="4" w:space="0"/>
            </w:tcBorders>
            <w:vAlign w:val="center"/>
          </w:tcPr>
          <w:p w14:paraId="62A94CF2">
            <w:pPr>
              <w:rPr>
                <w:sz w:val="20"/>
                <w:szCs w:val="20"/>
              </w:rPr>
            </w:pPr>
          </w:p>
        </w:tc>
        <w:tc>
          <w:tcPr>
            <w:tcW w:w="558"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3F9CFDD">
            <w:pPr>
              <w:jc w:val="center"/>
              <w:rPr>
                <w:rFonts w:ascii="宋体" w:hAnsi="宋体" w:cs="宋体"/>
                <w:sz w:val="20"/>
                <w:szCs w:val="20"/>
              </w:rPr>
            </w:pPr>
            <w:r>
              <w:rPr>
                <w:rFonts w:hint="eastAsia"/>
                <w:sz w:val="20"/>
                <w:szCs w:val="20"/>
              </w:rPr>
              <w:t>纪委办公室</w:t>
            </w:r>
          </w:p>
        </w:tc>
        <w:tc>
          <w:tcPr>
            <w:tcW w:w="699" w:type="pct"/>
            <w:tcBorders>
              <w:top w:val="nil"/>
              <w:left w:val="single" w:color="auto" w:sz="4" w:space="0"/>
              <w:bottom w:val="single" w:color="000000" w:sz="4" w:space="0"/>
              <w:right w:val="single" w:color="auto" w:sz="4" w:space="0"/>
            </w:tcBorders>
            <w:shd w:val="clear" w:color="auto" w:fill="auto"/>
            <w:vAlign w:val="center"/>
          </w:tcPr>
          <w:p w14:paraId="71A803A2">
            <w:pPr>
              <w:jc w:val="center"/>
              <w:rPr>
                <w:rFonts w:ascii="宋体" w:hAnsi="宋体" w:cs="宋体"/>
                <w:sz w:val="20"/>
                <w:szCs w:val="20"/>
              </w:rPr>
            </w:pPr>
            <w:r>
              <w:rPr>
                <w:rFonts w:hint="eastAsia"/>
                <w:sz w:val="20"/>
                <w:szCs w:val="20"/>
                <w:lang w:eastAsia="zh-CN"/>
              </w:rPr>
              <w:t>唐山工业职业技术大学</w:t>
            </w:r>
            <w:r>
              <w:rPr>
                <w:rFonts w:hint="eastAsia"/>
                <w:sz w:val="20"/>
                <w:szCs w:val="20"/>
              </w:rPr>
              <w:t>纪检</w:t>
            </w:r>
            <w:r>
              <w:rPr>
                <w:sz w:val="20"/>
                <w:szCs w:val="20"/>
              </w:rPr>
              <w:t>监察网http://jjjc.tsgzy.edu.cn/</w:t>
            </w:r>
          </w:p>
        </w:tc>
        <w:tc>
          <w:tcPr>
            <w:tcW w:w="321" w:type="pct"/>
            <w:vMerge w:val="continue"/>
            <w:tcBorders>
              <w:top w:val="nil"/>
              <w:left w:val="single" w:color="auto" w:sz="4" w:space="0"/>
              <w:bottom w:val="single" w:color="000000" w:sz="4" w:space="0"/>
              <w:right w:val="single" w:color="auto" w:sz="4" w:space="0"/>
            </w:tcBorders>
            <w:vAlign w:val="center"/>
          </w:tcPr>
          <w:p w14:paraId="55A06073">
            <w:pPr>
              <w:rPr>
                <w:rFonts w:ascii="仿宋_GB2312" w:hAnsi="宋体" w:eastAsia="仿宋_GB2312" w:cs="宋体"/>
                <w:sz w:val="24"/>
              </w:rPr>
            </w:pPr>
          </w:p>
        </w:tc>
      </w:tr>
      <w:tr w14:paraId="57411764">
        <w:tblPrEx>
          <w:tblCellMar>
            <w:top w:w="0" w:type="dxa"/>
            <w:left w:w="0" w:type="dxa"/>
            <w:bottom w:w="0" w:type="dxa"/>
            <w:right w:w="0" w:type="dxa"/>
          </w:tblCellMar>
        </w:tblPrEx>
        <w:trPr>
          <w:trHeight w:val="900" w:hRule="atLeast"/>
          <w:jc w:val="center"/>
        </w:trPr>
        <w:tc>
          <w:tcPr>
            <w:tcW w:w="150"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3170D83D">
            <w:pPr>
              <w:jc w:val="center"/>
              <w:rPr>
                <w:sz w:val="20"/>
                <w:szCs w:val="20"/>
              </w:rPr>
            </w:pPr>
            <w:r>
              <w:rPr>
                <w:sz w:val="20"/>
                <w:szCs w:val="20"/>
              </w:rPr>
              <w:t>8</w:t>
            </w:r>
          </w:p>
        </w:tc>
        <w:tc>
          <w:tcPr>
            <w:tcW w:w="375"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51247241">
            <w:pPr>
              <w:jc w:val="center"/>
              <w:rPr>
                <w:rFonts w:ascii="仿宋_GB2312" w:eastAsia="仿宋_GB2312"/>
                <w:sz w:val="20"/>
                <w:szCs w:val="20"/>
              </w:rPr>
            </w:pPr>
            <w:r>
              <w:rPr>
                <w:rFonts w:hint="eastAsia" w:ascii="仿宋_GB2312" w:eastAsia="仿宋_GB2312"/>
                <w:sz w:val="20"/>
                <w:szCs w:val="20"/>
              </w:rPr>
              <w:t>学位、学科信息</w:t>
            </w:r>
          </w:p>
          <w:p w14:paraId="7E3FF622">
            <w:pPr>
              <w:jc w:val="center"/>
              <w:rPr>
                <w:rFonts w:ascii="仿宋_GB2312" w:eastAsia="仿宋_GB2312"/>
                <w:sz w:val="20"/>
                <w:szCs w:val="20"/>
              </w:rPr>
            </w:pPr>
          </w:p>
          <w:p w14:paraId="76D28456">
            <w:pPr>
              <w:jc w:val="center"/>
              <w:rPr>
                <w:sz w:val="20"/>
                <w:szCs w:val="20"/>
              </w:rPr>
            </w:pPr>
            <w:r>
              <w:rPr>
                <w:rFonts w:hint="eastAsia" w:ascii="仿宋_GB2312" w:eastAsia="仿宋_GB2312"/>
                <w:sz w:val="20"/>
                <w:szCs w:val="20"/>
              </w:rPr>
              <w:t>（</w:t>
            </w:r>
            <w:r>
              <w:rPr>
                <w:sz w:val="20"/>
                <w:szCs w:val="20"/>
              </w:rPr>
              <w:t>4</w:t>
            </w:r>
            <w:r>
              <w:rPr>
                <w:rFonts w:hint="eastAsia" w:ascii="仿宋_GB2312" w:eastAsia="仿宋_GB2312"/>
                <w:sz w:val="20"/>
                <w:szCs w:val="20"/>
              </w:rPr>
              <w:t>项）</w:t>
            </w: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52BDF8A">
            <w:pPr>
              <w:jc w:val="left"/>
              <w:rPr>
                <w:sz w:val="20"/>
                <w:szCs w:val="20"/>
              </w:rPr>
            </w:pPr>
            <w:r>
              <w:rPr>
                <w:rFonts w:hint="eastAsia" w:ascii="仿宋_GB2312" w:eastAsia="仿宋_GB2312"/>
                <w:sz w:val="20"/>
                <w:szCs w:val="20"/>
              </w:rPr>
              <w:t>（</w:t>
            </w:r>
            <w:r>
              <w:rPr>
                <w:sz w:val="20"/>
                <w:szCs w:val="20"/>
              </w:rPr>
              <w:t>43</w:t>
            </w:r>
            <w:r>
              <w:rPr>
                <w:rFonts w:hint="eastAsia" w:ascii="仿宋_GB2312" w:eastAsia="仿宋_GB2312"/>
                <w:sz w:val="20"/>
                <w:szCs w:val="20"/>
              </w:rPr>
              <w:t>）授予博士、硕士、学士学位的基本要求</w:t>
            </w:r>
          </w:p>
        </w:tc>
        <w:tc>
          <w:tcPr>
            <w:tcW w:w="1446"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7F2B7431">
            <w:pPr>
              <w:rPr>
                <w:rFonts w:ascii="仿宋_GB2312" w:eastAsia="仿宋_GB2312"/>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p>
          <w:p w14:paraId="41156B72">
            <w:pPr>
              <w:rPr>
                <w:rFonts w:ascii="仿宋_GB2312" w:eastAsia="仿宋_GB2312"/>
                <w:sz w:val="20"/>
                <w:szCs w:val="20"/>
              </w:rPr>
            </w:pPr>
            <w:r>
              <w:rPr>
                <w:rFonts w:hint="eastAsia" w:ascii="仿宋_GB2312" w:eastAsia="仿宋_GB2312"/>
                <w:sz w:val="20"/>
                <w:szCs w:val="20"/>
              </w:rPr>
              <w:t>《关于进一步加强在职人员攻读硕士专业学位和授予同等学力人员硕士、博士学位管理工作的意见》（学位〔</w:t>
            </w:r>
            <w:r>
              <w:rPr>
                <w:sz w:val="20"/>
                <w:szCs w:val="20"/>
              </w:rPr>
              <w:t>2013</w:t>
            </w:r>
            <w:r>
              <w:rPr>
                <w:rFonts w:hint="eastAsia" w:ascii="仿宋_GB2312" w:eastAsia="仿宋_GB2312"/>
                <w:sz w:val="20"/>
                <w:szCs w:val="20"/>
              </w:rPr>
              <w:t>〕</w:t>
            </w:r>
            <w:r>
              <w:rPr>
                <w:sz w:val="20"/>
                <w:szCs w:val="20"/>
              </w:rPr>
              <w:t>36</w:t>
            </w:r>
            <w:r>
              <w:rPr>
                <w:rFonts w:hint="eastAsia" w:ascii="仿宋_GB2312" w:eastAsia="仿宋_GB2312"/>
                <w:sz w:val="20"/>
                <w:szCs w:val="20"/>
              </w:rPr>
              <w:t>号）</w:t>
            </w:r>
          </w:p>
          <w:p w14:paraId="6DC7C0C3">
            <w:pPr>
              <w:rPr>
                <w:rFonts w:ascii="仿宋_GB2312" w:eastAsia="仿宋_GB2312"/>
                <w:sz w:val="20"/>
                <w:szCs w:val="20"/>
              </w:rPr>
            </w:pPr>
            <w:r>
              <w:rPr>
                <w:rFonts w:hint="eastAsia" w:ascii="仿宋_GB2312" w:eastAsia="仿宋_GB2312"/>
                <w:sz w:val="20"/>
                <w:szCs w:val="20"/>
              </w:rPr>
              <w:t>《关于开展增列硕士专业学位授权点审核工作的通知》（学位〔</w:t>
            </w:r>
            <w:r>
              <w:rPr>
                <w:sz w:val="20"/>
                <w:szCs w:val="20"/>
              </w:rPr>
              <w:t>2013</w:t>
            </w:r>
            <w:r>
              <w:rPr>
                <w:rFonts w:hint="eastAsia" w:ascii="仿宋_GB2312" w:eastAsia="仿宋_GB2312"/>
                <w:sz w:val="20"/>
                <w:szCs w:val="20"/>
              </w:rPr>
              <w:t>〕</w:t>
            </w:r>
            <w:r>
              <w:rPr>
                <w:sz w:val="20"/>
                <w:szCs w:val="20"/>
              </w:rPr>
              <w:t>37</w:t>
            </w:r>
            <w:r>
              <w:rPr>
                <w:rFonts w:hint="eastAsia" w:ascii="仿宋_GB2312" w:eastAsia="仿宋_GB2312"/>
                <w:sz w:val="20"/>
                <w:szCs w:val="20"/>
              </w:rPr>
              <w:t>号）</w:t>
            </w:r>
          </w:p>
          <w:p w14:paraId="233AFC91">
            <w:pPr>
              <w:rPr>
                <w:rFonts w:ascii="仿宋_GB2312" w:eastAsia="仿宋_GB2312"/>
                <w:sz w:val="20"/>
                <w:szCs w:val="20"/>
              </w:rPr>
            </w:pPr>
            <w:r>
              <w:rPr>
                <w:rFonts w:hint="eastAsia" w:ascii="仿宋_GB2312" w:eastAsia="仿宋_GB2312"/>
                <w:sz w:val="20"/>
                <w:szCs w:val="20"/>
              </w:rPr>
              <w:t>《关于委托部分学位授予单位自行审核博士学位授权一级学科点和硕士学位授权一级学科点的通知》（学位〔</w:t>
            </w:r>
            <w:r>
              <w:rPr>
                <w:sz w:val="20"/>
                <w:szCs w:val="20"/>
              </w:rPr>
              <w:t>2010</w:t>
            </w:r>
            <w:r>
              <w:rPr>
                <w:rFonts w:hint="eastAsia" w:ascii="仿宋_GB2312" w:eastAsia="仿宋_GB2312"/>
                <w:sz w:val="20"/>
                <w:szCs w:val="20"/>
              </w:rPr>
              <w:t>〕</w:t>
            </w:r>
            <w:r>
              <w:rPr>
                <w:sz w:val="20"/>
                <w:szCs w:val="20"/>
              </w:rPr>
              <w:t>18</w:t>
            </w:r>
            <w:r>
              <w:rPr>
                <w:rFonts w:hint="eastAsia" w:ascii="仿宋_GB2312" w:eastAsia="仿宋_GB2312"/>
                <w:sz w:val="20"/>
                <w:szCs w:val="20"/>
              </w:rPr>
              <w:t>号）</w:t>
            </w:r>
          </w:p>
          <w:p w14:paraId="28F806BE">
            <w:pPr>
              <w:rPr>
                <w:rFonts w:ascii="仿宋_GB2312" w:eastAsia="仿宋_GB2312"/>
                <w:sz w:val="20"/>
                <w:szCs w:val="20"/>
              </w:rPr>
            </w:pPr>
            <w:r>
              <w:rPr>
                <w:rFonts w:hint="eastAsia" w:ascii="仿宋_GB2312" w:eastAsia="仿宋_GB2312"/>
                <w:sz w:val="20"/>
                <w:szCs w:val="20"/>
              </w:rPr>
              <w:t>《关于发布〈国务院学位委员会关于授予具有研究生毕业同等学力人员硕士、博士学位的规定〉的通知》（学位〔</w:t>
            </w:r>
            <w:r>
              <w:rPr>
                <w:sz w:val="20"/>
                <w:szCs w:val="20"/>
              </w:rPr>
              <w:t>1998</w:t>
            </w:r>
            <w:r>
              <w:rPr>
                <w:rFonts w:hint="eastAsia" w:ascii="仿宋_GB2312" w:eastAsia="仿宋_GB2312"/>
                <w:sz w:val="20"/>
                <w:szCs w:val="20"/>
              </w:rPr>
              <w:t>〕</w:t>
            </w:r>
            <w:r>
              <w:rPr>
                <w:sz w:val="20"/>
                <w:szCs w:val="20"/>
              </w:rPr>
              <w:t>54</w:t>
            </w:r>
            <w:r>
              <w:rPr>
                <w:rFonts w:hint="eastAsia" w:ascii="仿宋_GB2312" w:eastAsia="仿宋_GB2312"/>
                <w:sz w:val="20"/>
                <w:szCs w:val="20"/>
              </w:rPr>
              <w:t>号）</w:t>
            </w:r>
          </w:p>
          <w:p w14:paraId="4E27661D">
            <w:pPr>
              <w:rPr>
                <w:sz w:val="20"/>
                <w:szCs w:val="20"/>
              </w:rPr>
            </w:pPr>
            <w:r>
              <w:rPr>
                <w:rFonts w:hint="eastAsia" w:ascii="仿宋_GB2312" w:eastAsia="仿宋_GB2312"/>
                <w:sz w:val="20"/>
                <w:szCs w:val="20"/>
              </w:rPr>
              <w:t>《关于启用</w:t>
            </w:r>
            <w:r>
              <w:rPr>
                <w:sz w:val="20"/>
                <w:szCs w:val="20"/>
              </w:rPr>
              <w:t>“</w:t>
            </w:r>
            <w:r>
              <w:rPr>
                <w:rFonts w:hint="eastAsia" w:ascii="仿宋_GB2312" w:eastAsia="仿宋_GB2312"/>
                <w:sz w:val="20"/>
                <w:szCs w:val="20"/>
              </w:rPr>
              <w:t>全国同等学力人员申请硕士学位管理工作信息平台</w:t>
            </w:r>
            <w:r>
              <w:rPr>
                <w:sz w:val="20"/>
                <w:szCs w:val="20"/>
              </w:rPr>
              <w:t>”</w:t>
            </w:r>
            <w:r>
              <w:rPr>
                <w:rFonts w:hint="eastAsia" w:ascii="仿宋_GB2312" w:eastAsia="仿宋_GB2312"/>
                <w:sz w:val="20"/>
                <w:szCs w:val="20"/>
              </w:rPr>
              <w:t>的通知》（学位办〔</w:t>
            </w:r>
            <w:r>
              <w:rPr>
                <w:sz w:val="20"/>
                <w:szCs w:val="20"/>
              </w:rPr>
              <w:t>2011</w:t>
            </w:r>
            <w:r>
              <w:rPr>
                <w:rFonts w:hint="eastAsia" w:ascii="仿宋_GB2312" w:eastAsia="仿宋_GB2312"/>
                <w:sz w:val="20"/>
                <w:szCs w:val="20"/>
              </w:rPr>
              <w:t>〕</w:t>
            </w:r>
            <w:r>
              <w:rPr>
                <w:sz w:val="20"/>
                <w:szCs w:val="20"/>
              </w:rPr>
              <w:t>70</w:t>
            </w:r>
            <w:r>
              <w:rPr>
                <w:rFonts w:hint="eastAsia" w:ascii="仿宋_GB2312" w:eastAsia="仿宋_GB2312"/>
                <w:sz w:val="20"/>
                <w:szCs w:val="20"/>
              </w:rPr>
              <w:t>号）</w:t>
            </w:r>
          </w:p>
        </w:tc>
        <w:tc>
          <w:tcPr>
            <w:tcW w:w="558"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58853E20">
            <w:pPr>
              <w:jc w:val="center"/>
              <w:rPr>
                <w:rFonts w:ascii="宋体" w:hAnsi="宋体" w:cs="宋体"/>
                <w:sz w:val="20"/>
                <w:szCs w:val="20"/>
              </w:rPr>
            </w:pPr>
            <w:r>
              <w:rPr>
                <w:rFonts w:hint="eastAsia"/>
                <w:sz w:val="20"/>
                <w:szCs w:val="20"/>
              </w:rPr>
              <w:t>——</w:t>
            </w: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AAD386E">
            <w:pPr>
              <w:jc w:val="center"/>
              <w:rPr>
                <w:sz w:val="20"/>
                <w:szCs w:val="20"/>
              </w:rPr>
            </w:pPr>
            <w:r>
              <w:rPr>
                <w:sz w:val="20"/>
                <w:szCs w:val="20"/>
              </w:rPr>
              <w:t>　</w:t>
            </w:r>
          </w:p>
        </w:tc>
        <w:tc>
          <w:tcPr>
            <w:tcW w:w="321"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325A8F88">
            <w:pPr>
              <w:jc w:val="center"/>
              <w:rPr>
                <w:sz w:val="24"/>
              </w:rPr>
            </w:pPr>
            <w:r>
              <w:t>　</w:t>
            </w:r>
          </w:p>
        </w:tc>
      </w:tr>
      <w:tr w14:paraId="698DA399">
        <w:tblPrEx>
          <w:tblCellMar>
            <w:top w:w="0" w:type="dxa"/>
            <w:left w:w="0" w:type="dxa"/>
            <w:bottom w:w="0" w:type="dxa"/>
            <w:right w:w="0" w:type="dxa"/>
          </w:tblCellMar>
        </w:tblPrEx>
        <w:trPr>
          <w:trHeight w:val="780"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772B4000">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514336B0">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A95CCFD">
            <w:pPr>
              <w:jc w:val="left"/>
              <w:rPr>
                <w:sz w:val="20"/>
                <w:szCs w:val="20"/>
              </w:rPr>
            </w:pPr>
            <w:r>
              <w:rPr>
                <w:rFonts w:hint="eastAsia" w:ascii="仿宋_GB2312" w:eastAsia="仿宋_GB2312"/>
                <w:sz w:val="20"/>
                <w:szCs w:val="20"/>
              </w:rPr>
              <w:t>（</w:t>
            </w:r>
            <w:r>
              <w:rPr>
                <w:sz w:val="20"/>
                <w:szCs w:val="20"/>
              </w:rPr>
              <w:t>44</w:t>
            </w:r>
            <w:r>
              <w:rPr>
                <w:rFonts w:hint="eastAsia" w:ascii="仿宋_GB2312" w:eastAsia="仿宋_GB2312"/>
                <w:sz w:val="20"/>
                <w:szCs w:val="20"/>
              </w:rPr>
              <w:t>）拟授予硕士、博士学位同等学力人员资格审查和学力水平认定</w:t>
            </w:r>
          </w:p>
        </w:tc>
        <w:tc>
          <w:tcPr>
            <w:tcW w:w="1446" w:type="pct"/>
            <w:vMerge w:val="continue"/>
            <w:tcBorders>
              <w:top w:val="nil"/>
              <w:left w:val="single" w:color="auto" w:sz="4" w:space="0"/>
              <w:bottom w:val="single" w:color="auto" w:sz="4" w:space="0"/>
              <w:right w:val="single" w:color="auto" w:sz="4" w:space="0"/>
            </w:tcBorders>
            <w:vAlign w:val="center"/>
          </w:tcPr>
          <w:p w14:paraId="7FE5D196">
            <w:pPr>
              <w:rPr>
                <w:sz w:val="20"/>
                <w:szCs w:val="20"/>
              </w:rPr>
            </w:pPr>
          </w:p>
        </w:tc>
        <w:tc>
          <w:tcPr>
            <w:tcW w:w="558" w:type="pct"/>
            <w:vMerge w:val="continue"/>
            <w:tcBorders>
              <w:top w:val="nil"/>
              <w:left w:val="single" w:color="auto" w:sz="4" w:space="0"/>
              <w:bottom w:val="single" w:color="auto" w:sz="4" w:space="0"/>
              <w:right w:val="single" w:color="auto" w:sz="4" w:space="0"/>
            </w:tcBorders>
            <w:vAlign w:val="center"/>
          </w:tcPr>
          <w:p w14:paraId="2EA652DE">
            <w:pPr>
              <w:rPr>
                <w:rFonts w:ascii="宋体" w:hAnsi="宋体" w:cs="宋体"/>
                <w:sz w:val="20"/>
                <w:szCs w:val="20"/>
              </w:rPr>
            </w:pP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DC5CD5D">
            <w:pPr>
              <w:jc w:val="center"/>
              <w:rPr>
                <w:sz w:val="20"/>
                <w:szCs w:val="20"/>
              </w:rPr>
            </w:pPr>
            <w:r>
              <w:rPr>
                <w:sz w:val="20"/>
                <w:szCs w:val="20"/>
              </w:rPr>
              <w:t>　</w:t>
            </w:r>
          </w:p>
        </w:tc>
        <w:tc>
          <w:tcPr>
            <w:tcW w:w="321" w:type="pct"/>
            <w:vMerge w:val="continue"/>
            <w:tcBorders>
              <w:top w:val="nil"/>
              <w:left w:val="single" w:color="auto" w:sz="4" w:space="0"/>
              <w:bottom w:val="single" w:color="auto" w:sz="4" w:space="0"/>
              <w:right w:val="single" w:color="auto" w:sz="4" w:space="0"/>
            </w:tcBorders>
            <w:vAlign w:val="center"/>
          </w:tcPr>
          <w:p w14:paraId="686443E5">
            <w:pPr>
              <w:rPr>
                <w:sz w:val="24"/>
              </w:rPr>
            </w:pPr>
          </w:p>
        </w:tc>
      </w:tr>
      <w:tr w14:paraId="4D80B3CA">
        <w:tblPrEx>
          <w:tblCellMar>
            <w:top w:w="0" w:type="dxa"/>
            <w:left w:w="0" w:type="dxa"/>
            <w:bottom w:w="0" w:type="dxa"/>
            <w:right w:w="0" w:type="dxa"/>
          </w:tblCellMar>
        </w:tblPrEx>
        <w:trPr>
          <w:trHeight w:val="795"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79CA04A3">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5620DC2C">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5AB60AC">
            <w:pPr>
              <w:jc w:val="left"/>
              <w:rPr>
                <w:sz w:val="20"/>
                <w:szCs w:val="20"/>
              </w:rPr>
            </w:pPr>
            <w:r>
              <w:rPr>
                <w:rFonts w:hint="eastAsia" w:ascii="仿宋_GB2312" w:eastAsia="仿宋_GB2312"/>
                <w:sz w:val="20"/>
                <w:szCs w:val="20"/>
              </w:rPr>
              <w:t>（</w:t>
            </w:r>
            <w:r>
              <w:rPr>
                <w:sz w:val="20"/>
                <w:szCs w:val="20"/>
              </w:rPr>
              <w:t>45</w:t>
            </w:r>
            <w:r>
              <w:rPr>
                <w:rFonts w:hint="eastAsia" w:ascii="仿宋_GB2312" w:eastAsia="仿宋_GB2312"/>
                <w:sz w:val="20"/>
                <w:szCs w:val="20"/>
              </w:rPr>
              <w:t>）新增硕士、博士学位授权学科或专业学位授权点审核办法</w:t>
            </w:r>
          </w:p>
        </w:tc>
        <w:tc>
          <w:tcPr>
            <w:tcW w:w="1446" w:type="pct"/>
            <w:vMerge w:val="continue"/>
            <w:tcBorders>
              <w:top w:val="nil"/>
              <w:left w:val="single" w:color="auto" w:sz="4" w:space="0"/>
              <w:bottom w:val="single" w:color="auto" w:sz="4" w:space="0"/>
              <w:right w:val="single" w:color="auto" w:sz="4" w:space="0"/>
            </w:tcBorders>
            <w:vAlign w:val="center"/>
          </w:tcPr>
          <w:p w14:paraId="5AA87469">
            <w:pPr>
              <w:rPr>
                <w:sz w:val="20"/>
                <w:szCs w:val="20"/>
              </w:rPr>
            </w:pPr>
          </w:p>
        </w:tc>
        <w:tc>
          <w:tcPr>
            <w:tcW w:w="558" w:type="pct"/>
            <w:vMerge w:val="continue"/>
            <w:tcBorders>
              <w:top w:val="nil"/>
              <w:left w:val="single" w:color="auto" w:sz="4" w:space="0"/>
              <w:bottom w:val="single" w:color="auto" w:sz="4" w:space="0"/>
              <w:right w:val="single" w:color="auto" w:sz="4" w:space="0"/>
            </w:tcBorders>
            <w:vAlign w:val="center"/>
          </w:tcPr>
          <w:p w14:paraId="0B86B664">
            <w:pPr>
              <w:rPr>
                <w:rFonts w:ascii="宋体" w:hAnsi="宋体" w:cs="宋体"/>
                <w:sz w:val="20"/>
                <w:szCs w:val="20"/>
              </w:rPr>
            </w:pP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A0FD06D">
            <w:pPr>
              <w:jc w:val="center"/>
              <w:rPr>
                <w:sz w:val="20"/>
                <w:szCs w:val="20"/>
              </w:rPr>
            </w:pPr>
            <w:r>
              <w:rPr>
                <w:sz w:val="20"/>
                <w:szCs w:val="20"/>
              </w:rPr>
              <w:t>　</w:t>
            </w:r>
          </w:p>
        </w:tc>
        <w:tc>
          <w:tcPr>
            <w:tcW w:w="321" w:type="pct"/>
            <w:vMerge w:val="continue"/>
            <w:tcBorders>
              <w:top w:val="nil"/>
              <w:left w:val="single" w:color="auto" w:sz="4" w:space="0"/>
              <w:bottom w:val="single" w:color="auto" w:sz="4" w:space="0"/>
              <w:right w:val="single" w:color="auto" w:sz="4" w:space="0"/>
            </w:tcBorders>
            <w:vAlign w:val="center"/>
          </w:tcPr>
          <w:p w14:paraId="5BBBC4FB">
            <w:pPr>
              <w:rPr>
                <w:sz w:val="24"/>
              </w:rPr>
            </w:pPr>
          </w:p>
        </w:tc>
      </w:tr>
      <w:tr w14:paraId="0DD4294A">
        <w:tblPrEx>
          <w:tblCellMar>
            <w:top w:w="0" w:type="dxa"/>
            <w:left w:w="0" w:type="dxa"/>
            <w:bottom w:w="0" w:type="dxa"/>
            <w:right w:w="0" w:type="dxa"/>
          </w:tblCellMar>
        </w:tblPrEx>
        <w:trPr>
          <w:trHeight w:val="1310"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5D7E27B8">
            <w:pPr>
              <w:rPr>
                <w:sz w:val="20"/>
                <w:szCs w:val="20"/>
              </w:rPr>
            </w:pPr>
          </w:p>
        </w:tc>
        <w:tc>
          <w:tcPr>
            <w:tcW w:w="375" w:type="pct"/>
            <w:vMerge w:val="continue"/>
            <w:tcBorders>
              <w:top w:val="nil"/>
              <w:left w:val="single" w:color="auto" w:sz="4" w:space="0"/>
              <w:bottom w:val="single" w:color="auto" w:sz="4" w:space="0"/>
              <w:right w:val="single" w:color="auto" w:sz="4" w:space="0"/>
            </w:tcBorders>
            <w:vAlign w:val="center"/>
          </w:tcPr>
          <w:p w14:paraId="4BC6A7CB">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F1FEA71">
            <w:pPr>
              <w:jc w:val="left"/>
              <w:rPr>
                <w:sz w:val="20"/>
                <w:szCs w:val="20"/>
              </w:rPr>
            </w:pPr>
            <w:r>
              <w:rPr>
                <w:rFonts w:hint="eastAsia" w:ascii="仿宋_GB2312" w:eastAsia="仿宋_GB2312"/>
                <w:sz w:val="20"/>
                <w:szCs w:val="20"/>
              </w:rPr>
              <w:t>（</w:t>
            </w:r>
            <w:r>
              <w:rPr>
                <w:sz w:val="20"/>
                <w:szCs w:val="20"/>
              </w:rPr>
              <w:t>46</w:t>
            </w:r>
            <w:r>
              <w:rPr>
                <w:rFonts w:hint="eastAsia" w:ascii="仿宋_GB2312" w:eastAsia="仿宋_GB2312"/>
                <w:sz w:val="20"/>
                <w:szCs w:val="20"/>
              </w:rPr>
              <w:t>）拟新增学位授权学科或专业学位授权点的申报及论证材料</w:t>
            </w:r>
          </w:p>
        </w:tc>
        <w:tc>
          <w:tcPr>
            <w:tcW w:w="1446" w:type="pct"/>
            <w:vMerge w:val="continue"/>
            <w:tcBorders>
              <w:top w:val="nil"/>
              <w:left w:val="single" w:color="auto" w:sz="4" w:space="0"/>
              <w:bottom w:val="single" w:color="auto" w:sz="4" w:space="0"/>
              <w:right w:val="single" w:color="auto" w:sz="4" w:space="0"/>
            </w:tcBorders>
            <w:vAlign w:val="center"/>
          </w:tcPr>
          <w:p w14:paraId="2671C6C5">
            <w:pPr>
              <w:rPr>
                <w:sz w:val="20"/>
                <w:szCs w:val="20"/>
              </w:rPr>
            </w:pPr>
          </w:p>
        </w:tc>
        <w:tc>
          <w:tcPr>
            <w:tcW w:w="558" w:type="pct"/>
            <w:vMerge w:val="continue"/>
            <w:tcBorders>
              <w:top w:val="nil"/>
              <w:left w:val="single" w:color="auto" w:sz="4" w:space="0"/>
              <w:bottom w:val="single" w:color="auto" w:sz="4" w:space="0"/>
              <w:right w:val="single" w:color="auto" w:sz="4" w:space="0"/>
            </w:tcBorders>
            <w:vAlign w:val="center"/>
          </w:tcPr>
          <w:p w14:paraId="75E3459C">
            <w:pPr>
              <w:rPr>
                <w:rFonts w:ascii="宋体" w:hAnsi="宋体" w:cs="宋体"/>
                <w:sz w:val="20"/>
                <w:szCs w:val="20"/>
              </w:rPr>
            </w:pP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AF26DE8">
            <w:pPr>
              <w:jc w:val="center"/>
              <w:rPr>
                <w:sz w:val="20"/>
                <w:szCs w:val="20"/>
              </w:rPr>
            </w:pPr>
            <w:r>
              <w:rPr>
                <w:sz w:val="20"/>
                <w:szCs w:val="20"/>
              </w:rPr>
              <w:t>　</w:t>
            </w:r>
          </w:p>
        </w:tc>
        <w:tc>
          <w:tcPr>
            <w:tcW w:w="321" w:type="pct"/>
            <w:vMerge w:val="continue"/>
            <w:tcBorders>
              <w:top w:val="nil"/>
              <w:left w:val="single" w:color="auto" w:sz="4" w:space="0"/>
              <w:bottom w:val="single" w:color="auto" w:sz="4" w:space="0"/>
              <w:right w:val="single" w:color="auto" w:sz="4" w:space="0"/>
            </w:tcBorders>
            <w:vAlign w:val="center"/>
          </w:tcPr>
          <w:p w14:paraId="316F170D">
            <w:pPr>
              <w:rPr>
                <w:sz w:val="24"/>
              </w:rPr>
            </w:pPr>
          </w:p>
        </w:tc>
      </w:tr>
      <w:tr w14:paraId="0EE65D1C">
        <w:tblPrEx>
          <w:tblCellMar>
            <w:top w:w="0" w:type="dxa"/>
            <w:left w:w="0" w:type="dxa"/>
            <w:bottom w:w="0" w:type="dxa"/>
            <w:right w:w="0" w:type="dxa"/>
          </w:tblCellMar>
        </w:tblPrEx>
        <w:trPr>
          <w:trHeight w:val="586" w:hRule="atLeast"/>
          <w:jc w:val="center"/>
        </w:trPr>
        <w:tc>
          <w:tcPr>
            <w:tcW w:w="150"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F40AE03">
            <w:pPr>
              <w:jc w:val="center"/>
              <w:rPr>
                <w:sz w:val="20"/>
                <w:szCs w:val="20"/>
              </w:rPr>
            </w:pPr>
            <w:r>
              <w:rPr>
                <w:sz w:val="20"/>
                <w:szCs w:val="20"/>
              </w:rPr>
              <w:t>9</w:t>
            </w:r>
          </w:p>
        </w:tc>
        <w:tc>
          <w:tcPr>
            <w:tcW w:w="375"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0F60706D">
            <w:pPr>
              <w:jc w:val="center"/>
              <w:rPr>
                <w:rFonts w:ascii="仿宋_GB2312" w:eastAsia="仿宋_GB2312"/>
                <w:sz w:val="20"/>
                <w:szCs w:val="20"/>
              </w:rPr>
            </w:pPr>
            <w:r>
              <w:rPr>
                <w:rFonts w:hint="eastAsia" w:ascii="仿宋_GB2312" w:eastAsia="仿宋_GB2312"/>
                <w:sz w:val="20"/>
                <w:szCs w:val="20"/>
              </w:rPr>
              <w:t>对外交流与合作信息</w:t>
            </w:r>
          </w:p>
          <w:p w14:paraId="01C5B615">
            <w:pPr>
              <w:jc w:val="center"/>
              <w:rPr>
                <w:rFonts w:ascii="仿宋_GB2312" w:eastAsia="仿宋_GB2312"/>
                <w:sz w:val="20"/>
                <w:szCs w:val="20"/>
              </w:rPr>
            </w:pPr>
          </w:p>
          <w:p w14:paraId="18E6E4C0">
            <w:pPr>
              <w:jc w:val="center"/>
              <w:rPr>
                <w:sz w:val="20"/>
                <w:szCs w:val="20"/>
              </w:rPr>
            </w:pPr>
            <w:r>
              <w:rPr>
                <w:rFonts w:hint="eastAsia" w:ascii="仿宋_GB2312" w:eastAsia="仿宋_GB2312"/>
                <w:sz w:val="20"/>
                <w:szCs w:val="20"/>
              </w:rPr>
              <w:t>（</w:t>
            </w:r>
            <w:r>
              <w:rPr>
                <w:sz w:val="20"/>
                <w:szCs w:val="20"/>
              </w:rPr>
              <w:t>2</w:t>
            </w:r>
            <w:r>
              <w:rPr>
                <w:rFonts w:hint="eastAsia" w:ascii="仿宋_GB2312" w:eastAsia="仿宋_GB2312"/>
                <w:sz w:val="20"/>
                <w:szCs w:val="20"/>
              </w:rPr>
              <w:t>项）</w:t>
            </w: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CE2582A">
            <w:pPr>
              <w:jc w:val="left"/>
              <w:rPr>
                <w:sz w:val="20"/>
                <w:szCs w:val="20"/>
              </w:rPr>
            </w:pPr>
            <w:r>
              <w:rPr>
                <w:rFonts w:hint="eastAsia" w:ascii="仿宋_GB2312" w:eastAsia="仿宋_GB2312"/>
                <w:sz w:val="20"/>
                <w:szCs w:val="20"/>
              </w:rPr>
              <w:t>（</w:t>
            </w:r>
            <w:r>
              <w:rPr>
                <w:sz w:val="20"/>
                <w:szCs w:val="20"/>
              </w:rPr>
              <w:t>47</w:t>
            </w:r>
            <w:r>
              <w:rPr>
                <w:rFonts w:hint="eastAsia" w:ascii="仿宋_GB2312" w:eastAsia="仿宋_GB2312"/>
                <w:sz w:val="20"/>
                <w:szCs w:val="20"/>
              </w:rPr>
              <w:t>）中外合作办学情况</w:t>
            </w:r>
          </w:p>
        </w:tc>
        <w:tc>
          <w:tcPr>
            <w:tcW w:w="1446"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25D3FDD">
            <w:pPr>
              <w:rPr>
                <w:rFonts w:ascii="仿宋_GB2312" w:eastAsia="仿宋_GB2312"/>
                <w:sz w:val="20"/>
                <w:szCs w:val="20"/>
              </w:rPr>
            </w:pPr>
            <w:r>
              <w:rPr>
                <w:rFonts w:hint="eastAsia" w:ascii="仿宋_GB2312" w:eastAsia="仿宋_GB2312"/>
                <w:sz w:val="20"/>
                <w:szCs w:val="20"/>
              </w:rPr>
              <w:t>《高等学校接受外国留学生管理规定》（教育部令第</w:t>
            </w:r>
            <w:r>
              <w:rPr>
                <w:sz w:val="20"/>
                <w:szCs w:val="20"/>
              </w:rPr>
              <w:t>9</w:t>
            </w:r>
            <w:r>
              <w:rPr>
                <w:rFonts w:hint="eastAsia" w:ascii="仿宋_GB2312" w:eastAsia="仿宋_GB2312"/>
                <w:sz w:val="20"/>
                <w:szCs w:val="20"/>
              </w:rPr>
              <w:t>号）</w:t>
            </w:r>
          </w:p>
          <w:p w14:paraId="0E67DDD3">
            <w:pPr>
              <w:rPr>
                <w:sz w:val="20"/>
                <w:szCs w:val="20"/>
              </w:rPr>
            </w:pPr>
            <w:r>
              <w:rPr>
                <w:rFonts w:hint="eastAsia" w:ascii="仿宋_GB2312" w:eastAsia="仿宋_GB2312"/>
                <w:sz w:val="20"/>
                <w:szCs w:val="20"/>
              </w:rPr>
              <w:t>《教育部关于进一步加强高等学校中外合作办学质量保障工作的意见》（教外办学〔</w:t>
            </w:r>
            <w:r>
              <w:rPr>
                <w:sz w:val="20"/>
                <w:szCs w:val="20"/>
              </w:rPr>
              <w:t>2013</w:t>
            </w:r>
            <w:r>
              <w:rPr>
                <w:rFonts w:hint="eastAsia" w:ascii="仿宋_GB2312" w:eastAsia="仿宋_GB2312"/>
                <w:sz w:val="20"/>
                <w:szCs w:val="20"/>
              </w:rPr>
              <w:t>〕</w:t>
            </w:r>
            <w:r>
              <w:rPr>
                <w:sz w:val="20"/>
                <w:szCs w:val="20"/>
              </w:rPr>
              <w:t>91</w:t>
            </w:r>
            <w:r>
              <w:rPr>
                <w:rFonts w:hint="eastAsia" w:ascii="仿宋_GB2312" w:eastAsia="仿宋_GB2312"/>
                <w:sz w:val="20"/>
                <w:szCs w:val="20"/>
              </w:rPr>
              <w:t>号）</w:t>
            </w:r>
          </w:p>
        </w:tc>
        <w:tc>
          <w:tcPr>
            <w:tcW w:w="558"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1B5A7A4">
            <w:pPr>
              <w:jc w:val="center"/>
              <w:rPr>
                <w:rFonts w:ascii="宋体" w:hAnsi="宋体" w:cs="宋体"/>
                <w:sz w:val="20"/>
                <w:szCs w:val="20"/>
              </w:rPr>
            </w:pPr>
            <w:r>
              <w:rPr>
                <w:rFonts w:hint="eastAsia"/>
                <w:sz w:val="20"/>
                <w:szCs w:val="20"/>
              </w:rPr>
              <w:t>国际交流学院</w:t>
            </w:r>
          </w:p>
        </w:tc>
        <w:tc>
          <w:tcPr>
            <w:tcW w:w="699"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70ED1D0F">
            <w:pPr>
              <w:jc w:val="center"/>
              <w:rPr>
                <w:sz w:val="20"/>
                <w:szCs w:val="20"/>
              </w:rPr>
            </w:pPr>
            <w:r>
              <w:rPr>
                <w:rFonts w:hint="eastAsia"/>
                <w:sz w:val="20"/>
                <w:szCs w:val="20"/>
                <w:lang w:eastAsia="zh-CN"/>
              </w:rPr>
              <w:t>唐山工业职业技术大学</w:t>
            </w:r>
            <w:r>
              <w:rPr>
                <w:rFonts w:hint="eastAsia"/>
                <w:sz w:val="20"/>
                <w:szCs w:val="20"/>
              </w:rPr>
              <w:t>官方</w:t>
            </w:r>
            <w:r>
              <w:rPr>
                <w:sz w:val="20"/>
                <w:szCs w:val="20"/>
              </w:rPr>
              <w:t>网站http://www.tsgzy.edu.cn/</w:t>
            </w:r>
          </w:p>
        </w:tc>
        <w:tc>
          <w:tcPr>
            <w:tcW w:w="321"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5380CA86">
            <w:pPr>
              <w:jc w:val="center"/>
              <w:rPr>
                <w:sz w:val="24"/>
              </w:rPr>
            </w:pPr>
            <w:r>
              <w:rPr>
                <w:rFonts w:hint="eastAsia"/>
              </w:rPr>
              <w:t>202</w:t>
            </w:r>
            <w:r>
              <w:rPr>
                <w:rFonts w:hint="eastAsia"/>
                <w:lang w:val="en-US" w:eastAsia="zh-CN"/>
              </w:rPr>
              <w:t>5</w:t>
            </w:r>
            <w:r>
              <w:t>.8.31</w:t>
            </w:r>
          </w:p>
        </w:tc>
      </w:tr>
      <w:tr w14:paraId="37076E1B">
        <w:tblPrEx>
          <w:tblCellMar>
            <w:top w:w="0" w:type="dxa"/>
            <w:left w:w="0" w:type="dxa"/>
            <w:bottom w:w="0" w:type="dxa"/>
            <w:right w:w="0" w:type="dxa"/>
          </w:tblCellMar>
        </w:tblPrEx>
        <w:trPr>
          <w:trHeight w:val="229" w:hRule="atLeast"/>
          <w:jc w:val="center"/>
        </w:trPr>
        <w:tc>
          <w:tcPr>
            <w:tcW w:w="150" w:type="pct"/>
            <w:vMerge w:val="continue"/>
            <w:tcBorders>
              <w:top w:val="nil"/>
              <w:left w:val="single" w:color="auto" w:sz="4" w:space="0"/>
              <w:bottom w:val="single" w:color="auto" w:sz="4" w:space="0"/>
              <w:right w:val="single" w:color="auto" w:sz="4" w:space="0"/>
            </w:tcBorders>
            <w:vAlign w:val="center"/>
          </w:tcPr>
          <w:p w14:paraId="368EBA43">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1C8C73EF">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3485843">
            <w:pPr>
              <w:jc w:val="left"/>
              <w:rPr>
                <w:sz w:val="20"/>
                <w:szCs w:val="20"/>
              </w:rPr>
            </w:pPr>
            <w:r>
              <w:rPr>
                <w:rFonts w:hint="eastAsia" w:ascii="仿宋_GB2312" w:eastAsia="仿宋_GB2312"/>
                <w:sz w:val="20"/>
                <w:szCs w:val="20"/>
              </w:rPr>
              <w:t>（</w:t>
            </w:r>
            <w:r>
              <w:rPr>
                <w:sz w:val="20"/>
                <w:szCs w:val="20"/>
              </w:rPr>
              <w:t>48</w:t>
            </w:r>
            <w:r>
              <w:rPr>
                <w:rFonts w:hint="eastAsia" w:ascii="仿宋_GB2312" w:eastAsia="仿宋_GB2312"/>
                <w:sz w:val="20"/>
                <w:szCs w:val="20"/>
              </w:rPr>
              <w:t>）来华留学生管理相关规定</w:t>
            </w:r>
          </w:p>
        </w:tc>
        <w:tc>
          <w:tcPr>
            <w:tcW w:w="1446" w:type="pct"/>
            <w:vMerge w:val="continue"/>
            <w:tcBorders>
              <w:top w:val="nil"/>
              <w:left w:val="single" w:color="auto" w:sz="4" w:space="0"/>
              <w:bottom w:val="single" w:color="auto" w:sz="4" w:space="0"/>
              <w:right w:val="single" w:color="auto" w:sz="4" w:space="0"/>
            </w:tcBorders>
            <w:vAlign w:val="center"/>
          </w:tcPr>
          <w:p w14:paraId="196EE446">
            <w:pPr>
              <w:rPr>
                <w:sz w:val="20"/>
                <w:szCs w:val="20"/>
              </w:rPr>
            </w:pPr>
          </w:p>
        </w:tc>
        <w:tc>
          <w:tcPr>
            <w:tcW w:w="558" w:type="pct"/>
            <w:vMerge w:val="continue"/>
            <w:tcBorders>
              <w:top w:val="nil"/>
              <w:left w:val="single" w:color="auto" w:sz="4" w:space="0"/>
              <w:bottom w:val="single" w:color="auto" w:sz="4" w:space="0"/>
              <w:right w:val="single" w:color="auto" w:sz="4" w:space="0"/>
            </w:tcBorders>
            <w:vAlign w:val="center"/>
          </w:tcPr>
          <w:p w14:paraId="4E38146A">
            <w:pPr>
              <w:rPr>
                <w:rFonts w:ascii="宋体" w:hAnsi="宋体" w:cs="宋体"/>
                <w:sz w:val="20"/>
                <w:szCs w:val="20"/>
              </w:rPr>
            </w:pPr>
          </w:p>
        </w:tc>
        <w:tc>
          <w:tcPr>
            <w:tcW w:w="699" w:type="pct"/>
            <w:vMerge w:val="continue"/>
            <w:tcBorders>
              <w:top w:val="nil"/>
              <w:left w:val="single" w:color="auto" w:sz="4" w:space="0"/>
              <w:bottom w:val="single" w:color="000000" w:sz="4" w:space="0"/>
              <w:right w:val="single" w:color="auto" w:sz="4" w:space="0"/>
            </w:tcBorders>
            <w:vAlign w:val="center"/>
          </w:tcPr>
          <w:p w14:paraId="58740F2E">
            <w:pPr>
              <w:rPr>
                <w:sz w:val="20"/>
                <w:szCs w:val="20"/>
              </w:rPr>
            </w:pPr>
          </w:p>
        </w:tc>
        <w:tc>
          <w:tcPr>
            <w:tcW w:w="321" w:type="pct"/>
            <w:vMerge w:val="continue"/>
            <w:tcBorders>
              <w:top w:val="nil"/>
              <w:left w:val="single" w:color="auto" w:sz="4" w:space="0"/>
              <w:bottom w:val="single" w:color="auto" w:sz="4" w:space="0"/>
              <w:right w:val="single" w:color="auto" w:sz="4" w:space="0"/>
            </w:tcBorders>
            <w:vAlign w:val="center"/>
          </w:tcPr>
          <w:p w14:paraId="77774E65">
            <w:pPr>
              <w:rPr>
                <w:sz w:val="24"/>
              </w:rPr>
            </w:pPr>
          </w:p>
        </w:tc>
      </w:tr>
      <w:tr w14:paraId="4511E6F8">
        <w:tblPrEx>
          <w:tblCellMar>
            <w:top w:w="0" w:type="dxa"/>
            <w:left w:w="0" w:type="dxa"/>
            <w:bottom w:w="0" w:type="dxa"/>
            <w:right w:w="0" w:type="dxa"/>
          </w:tblCellMar>
        </w:tblPrEx>
        <w:trPr>
          <w:trHeight w:val="1200" w:hRule="atLeast"/>
          <w:jc w:val="center"/>
        </w:trPr>
        <w:tc>
          <w:tcPr>
            <w:tcW w:w="150"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3317CD90">
            <w:pPr>
              <w:jc w:val="center"/>
              <w:rPr>
                <w:sz w:val="20"/>
                <w:szCs w:val="20"/>
              </w:rPr>
            </w:pPr>
            <w:r>
              <w:rPr>
                <w:sz w:val="20"/>
                <w:szCs w:val="20"/>
              </w:rPr>
              <w:t>10</w:t>
            </w:r>
          </w:p>
        </w:tc>
        <w:tc>
          <w:tcPr>
            <w:tcW w:w="375" w:type="pct"/>
            <w:vMerge w:val="restart"/>
            <w:tcBorders>
              <w:top w:val="nil"/>
              <w:left w:val="single" w:color="auto" w:sz="4" w:space="0"/>
              <w:bottom w:val="single" w:color="000000" w:sz="4" w:space="0"/>
              <w:right w:val="single" w:color="auto" w:sz="4" w:space="0"/>
            </w:tcBorders>
            <w:shd w:val="clear" w:color="auto" w:fill="auto"/>
            <w:tcMar>
              <w:top w:w="15" w:type="dxa"/>
              <w:left w:w="15" w:type="dxa"/>
              <w:bottom w:w="0" w:type="dxa"/>
              <w:right w:w="15" w:type="dxa"/>
            </w:tcMar>
            <w:vAlign w:val="center"/>
          </w:tcPr>
          <w:p w14:paraId="3335D94A">
            <w:pPr>
              <w:jc w:val="center"/>
              <w:rPr>
                <w:rFonts w:ascii="仿宋_GB2312" w:eastAsia="仿宋_GB2312"/>
                <w:sz w:val="20"/>
                <w:szCs w:val="20"/>
              </w:rPr>
            </w:pPr>
            <w:r>
              <w:rPr>
                <w:rFonts w:hint="eastAsia" w:ascii="仿宋_GB2312" w:eastAsia="仿宋_GB2312"/>
                <w:sz w:val="20"/>
                <w:szCs w:val="20"/>
              </w:rPr>
              <w:t>其他</w:t>
            </w:r>
          </w:p>
          <w:p w14:paraId="33DDCCC4">
            <w:pPr>
              <w:jc w:val="center"/>
              <w:rPr>
                <w:rFonts w:ascii="仿宋_GB2312" w:eastAsia="仿宋_GB2312"/>
                <w:sz w:val="20"/>
                <w:szCs w:val="20"/>
              </w:rPr>
            </w:pPr>
          </w:p>
          <w:p w14:paraId="5F054FB8">
            <w:pPr>
              <w:jc w:val="center"/>
              <w:rPr>
                <w:sz w:val="20"/>
                <w:szCs w:val="20"/>
              </w:rPr>
            </w:pPr>
            <w:r>
              <w:rPr>
                <w:rFonts w:hint="eastAsia" w:ascii="仿宋_GB2312" w:eastAsia="仿宋_GB2312"/>
                <w:sz w:val="20"/>
                <w:szCs w:val="20"/>
              </w:rPr>
              <w:t>（</w:t>
            </w:r>
            <w:r>
              <w:rPr>
                <w:sz w:val="20"/>
                <w:szCs w:val="20"/>
              </w:rPr>
              <w:t>2</w:t>
            </w:r>
            <w:r>
              <w:rPr>
                <w:rFonts w:hint="eastAsia" w:ascii="仿宋_GB2312" w:eastAsia="仿宋_GB2312"/>
                <w:sz w:val="20"/>
                <w:szCs w:val="20"/>
              </w:rPr>
              <w:t>项）</w:t>
            </w: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9D041D9">
            <w:pPr>
              <w:jc w:val="left"/>
              <w:rPr>
                <w:sz w:val="20"/>
                <w:szCs w:val="20"/>
              </w:rPr>
            </w:pPr>
            <w:r>
              <w:rPr>
                <w:rFonts w:hint="eastAsia" w:ascii="仿宋_GB2312" w:eastAsia="仿宋_GB2312"/>
                <w:sz w:val="20"/>
                <w:szCs w:val="20"/>
              </w:rPr>
              <w:t>（</w:t>
            </w:r>
            <w:r>
              <w:rPr>
                <w:sz w:val="20"/>
                <w:szCs w:val="20"/>
              </w:rPr>
              <w:t>49</w:t>
            </w:r>
            <w:r>
              <w:rPr>
                <w:rFonts w:hint="eastAsia" w:ascii="仿宋_GB2312" w:eastAsia="仿宋_GB2312"/>
                <w:sz w:val="20"/>
                <w:szCs w:val="20"/>
              </w:rPr>
              <w:t>）巡视组反馈意见，落实反馈意见整改情况</w:t>
            </w:r>
          </w:p>
        </w:tc>
        <w:tc>
          <w:tcPr>
            <w:tcW w:w="1446" w:type="pct"/>
            <w:tcBorders>
              <w:top w:val="nil"/>
              <w:left w:val="nil"/>
              <w:bottom w:val="nil"/>
              <w:right w:val="single" w:color="auto" w:sz="4" w:space="0"/>
            </w:tcBorders>
            <w:shd w:val="clear" w:color="auto" w:fill="auto"/>
            <w:tcMar>
              <w:top w:w="15" w:type="dxa"/>
              <w:left w:w="15" w:type="dxa"/>
              <w:bottom w:w="0" w:type="dxa"/>
              <w:right w:w="15" w:type="dxa"/>
            </w:tcMar>
            <w:vAlign w:val="center"/>
          </w:tcPr>
          <w:p w14:paraId="757B1345">
            <w:pPr>
              <w:rPr>
                <w:rFonts w:ascii="仿宋_GB2312" w:eastAsia="仿宋_GB2312"/>
                <w:sz w:val="20"/>
                <w:szCs w:val="20"/>
              </w:rPr>
            </w:pPr>
            <w:r>
              <w:rPr>
                <w:rFonts w:hint="eastAsia" w:ascii="仿宋_GB2312" w:eastAsia="仿宋_GB2312"/>
                <w:sz w:val="20"/>
                <w:szCs w:val="20"/>
              </w:rPr>
              <w:t>《中共中央关于印发〈中国共产党巡视工作条例（试行）〉的通知》（中发〔</w:t>
            </w:r>
            <w:r>
              <w:rPr>
                <w:sz w:val="20"/>
                <w:szCs w:val="20"/>
              </w:rPr>
              <w:t>2009</w:t>
            </w:r>
            <w:r>
              <w:rPr>
                <w:rFonts w:hint="eastAsia" w:ascii="仿宋_GB2312" w:eastAsia="仿宋_GB2312"/>
                <w:sz w:val="20"/>
                <w:szCs w:val="20"/>
              </w:rPr>
              <w:t>〕</w:t>
            </w:r>
            <w:r>
              <w:rPr>
                <w:sz w:val="20"/>
                <w:szCs w:val="20"/>
              </w:rPr>
              <w:t>7</w:t>
            </w:r>
            <w:r>
              <w:rPr>
                <w:rFonts w:hint="eastAsia" w:ascii="仿宋_GB2312" w:eastAsia="仿宋_GB2312"/>
                <w:sz w:val="20"/>
                <w:szCs w:val="20"/>
              </w:rPr>
              <w:t>号）</w:t>
            </w:r>
          </w:p>
          <w:p w14:paraId="0D9F3E6C">
            <w:pPr>
              <w:rPr>
                <w:sz w:val="20"/>
                <w:szCs w:val="20"/>
              </w:rPr>
            </w:pPr>
            <w:r>
              <w:rPr>
                <w:rFonts w:hint="eastAsia" w:ascii="仿宋_GB2312" w:eastAsia="仿宋_GB2312"/>
                <w:sz w:val="20"/>
                <w:szCs w:val="20"/>
              </w:rPr>
              <w:t>《中共教育部党组关于进一步加强和改进巡视工作的意见》（教党〔</w:t>
            </w:r>
            <w:r>
              <w:rPr>
                <w:sz w:val="20"/>
                <w:szCs w:val="20"/>
              </w:rPr>
              <w:t>2013</w:t>
            </w:r>
            <w:r>
              <w:rPr>
                <w:rFonts w:hint="eastAsia" w:ascii="仿宋_GB2312" w:eastAsia="仿宋_GB2312"/>
                <w:sz w:val="20"/>
                <w:szCs w:val="20"/>
              </w:rPr>
              <w:t>〕</w:t>
            </w:r>
            <w:r>
              <w:rPr>
                <w:sz w:val="20"/>
                <w:szCs w:val="20"/>
              </w:rPr>
              <w:t>3</w:t>
            </w:r>
            <w:r>
              <w:rPr>
                <w:rFonts w:hint="eastAsia" w:ascii="仿宋_GB2312" w:eastAsia="仿宋_GB2312"/>
                <w:sz w:val="20"/>
                <w:szCs w:val="20"/>
              </w:rPr>
              <w:t>号）</w:t>
            </w:r>
          </w:p>
        </w:tc>
        <w:tc>
          <w:tcPr>
            <w:tcW w:w="558" w:type="pct"/>
            <w:tcBorders>
              <w:top w:val="nil"/>
              <w:left w:val="nil"/>
              <w:bottom w:val="nil"/>
              <w:right w:val="single" w:color="auto" w:sz="4" w:space="0"/>
            </w:tcBorders>
            <w:shd w:val="clear" w:color="auto" w:fill="auto"/>
            <w:tcMar>
              <w:top w:w="15" w:type="dxa"/>
              <w:left w:w="15" w:type="dxa"/>
              <w:bottom w:w="0" w:type="dxa"/>
              <w:right w:w="15" w:type="dxa"/>
            </w:tcMar>
            <w:vAlign w:val="center"/>
          </w:tcPr>
          <w:p w14:paraId="312A6E8E">
            <w:pPr>
              <w:jc w:val="center"/>
              <w:rPr>
                <w:rFonts w:ascii="宋体" w:hAnsi="宋体" w:cs="宋体"/>
                <w:sz w:val="20"/>
                <w:szCs w:val="20"/>
              </w:rPr>
            </w:pPr>
            <w:r>
              <w:rPr>
                <w:rFonts w:hint="eastAsia" w:ascii="宋体" w:hAnsi="宋体" w:cs="宋体"/>
                <w:sz w:val="20"/>
                <w:szCs w:val="20"/>
              </w:rPr>
              <w:t>纪委办公室</w:t>
            </w:r>
          </w:p>
        </w:tc>
        <w:tc>
          <w:tcPr>
            <w:tcW w:w="699"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3E015B4">
            <w:pPr>
              <w:jc w:val="center"/>
              <w:rPr>
                <w:sz w:val="20"/>
                <w:szCs w:val="20"/>
              </w:rPr>
            </w:pPr>
            <w:r>
              <w:rPr>
                <w:rFonts w:hint="eastAsia"/>
                <w:sz w:val="20"/>
                <w:szCs w:val="20"/>
                <w:lang w:eastAsia="zh-CN"/>
              </w:rPr>
              <w:t>唐山工业职业技术大学</w:t>
            </w:r>
            <w:r>
              <w:rPr>
                <w:rFonts w:hint="eastAsia"/>
                <w:sz w:val="20"/>
                <w:szCs w:val="20"/>
              </w:rPr>
              <w:t>纪检</w:t>
            </w:r>
            <w:r>
              <w:rPr>
                <w:sz w:val="20"/>
                <w:szCs w:val="20"/>
              </w:rPr>
              <w:t>监察网http://jjjc.tsgzy.edu.cn/</w:t>
            </w:r>
          </w:p>
        </w:tc>
        <w:tc>
          <w:tcPr>
            <w:tcW w:w="321" w:type="pct"/>
            <w:vMerge w:val="restart"/>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6AD653F">
            <w:pPr>
              <w:jc w:val="center"/>
              <w:rPr>
                <w:sz w:val="24"/>
              </w:rPr>
            </w:pPr>
            <w:r>
              <w:rPr>
                <w:rFonts w:hint="eastAsia"/>
              </w:rPr>
              <w:t>202</w:t>
            </w:r>
            <w:r>
              <w:rPr>
                <w:rFonts w:hint="eastAsia"/>
                <w:lang w:val="en-US" w:eastAsia="zh-CN"/>
              </w:rPr>
              <w:t>5</w:t>
            </w:r>
            <w:bookmarkStart w:id="0" w:name="_GoBack"/>
            <w:bookmarkEnd w:id="0"/>
            <w:r>
              <w:t>.8.31</w:t>
            </w:r>
          </w:p>
        </w:tc>
      </w:tr>
      <w:tr w14:paraId="3E8815A4">
        <w:tblPrEx>
          <w:tblCellMar>
            <w:top w:w="0" w:type="dxa"/>
            <w:left w:w="0" w:type="dxa"/>
            <w:bottom w:w="0" w:type="dxa"/>
            <w:right w:w="0" w:type="dxa"/>
          </w:tblCellMar>
        </w:tblPrEx>
        <w:trPr>
          <w:trHeight w:val="960" w:hRule="atLeast"/>
          <w:jc w:val="center"/>
        </w:trPr>
        <w:tc>
          <w:tcPr>
            <w:tcW w:w="150" w:type="pct"/>
            <w:vMerge w:val="continue"/>
            <w:tcBorders>
              <w:top w:val="nil"/>
              <w:left w:val="single" w:color="auto" w:sz="4" w:space="0"/>
              <w:bottom w:val="single" w:color="000000" w:sz="4" w:space="0"/>
              <w:right w:val="single" w:color="auto" w:sz="4" w:space="0"/>
            </w:tcBorders>
            <w:vAlign w:val="center"/>
          </w:tcPr>
          <w:p w14:paraId="5AD6A410">
            <w:pPr>
              <w:rPr>
                <w:sz w:val="20"/>
                <w:szCs w:val="20"/>
              </w:rPr>
            </w:pPr>
          </w:p>
        </w:tc>
        <w:tc>
          <w:tcPr>
            <w:tcW w:w="375" w:type="pct"/>
            <w:vMerge w:val="continue"/>
            <w:tcBorders>
              <w:top w:val="nil"/>
              <w:left w:val="single" w:color="auto" w:sz="4" w:space="0"/>
              <w:bottom w:val="single" w:color="000000" w:sz="4" w:space="0"/>
              <w:right w:val="single" w:color="auto" w:sz="4" w:space="0"/>
            </w:tcBorders>
            <w:vAlign w:val="center"/>
          </w:tcPr>
          <w:p w14:paraId="7760F032">
            <w:pPr>
              <w:rPr>
                <w:sz w:val="20"/>
                <w:szCs w:val="20"/>
              </w:rPr>
            </w:pPr>
          </w:p>
        </w:tc>
        <w:tc>
          <w:tcPr>
            <w:tcW w:w="1451" w:type="pct"/>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CEBAE11">
            <w:pPr>
              <w:jc w:val="left"/>
              <w:rPr>
                <w:sz w:val="20"/>
                <w:szCs w:val="20"/>
              </w:rPr>
            </w:pPr>
            <w:r>
              <w:rPr>
                <w:rFonts w:hint="eastAsia" w:ascii="仿宋_GB2312" w:eastAsia="仿宋_GB2312"/>
                <w:sz w:val="20"/>
                <w:szCs w:val="20"/>
              </w:rPr>
              <w:t>（</w:t>
            </w:r>
            <w:r>
              <w:rPr>
                <w:sz w:val="20"/>
                <w:szCs w:val="20"/>
              </w:rPr>
              <w:t>50</w:t>
            </w:r>
            <w:r>
              <w:rPr>
                <w:rFonts w:hint="eastAsia" w:ascii="仿宋_GB2312" w:eastAsia="仿宋_GB2312"/>
                <w:sz w:val="20"/>
                <w:szCs w:val="20"/>
              </w:rPr>
              <w:t>）自然灾害等突发事件的应急处理预案、预警信息和处置情况，涉及学校的重大事件的调查和处理情况</w:t>
            </w:r>
          </w:p>
        </w:tc>
        <w:tc>
          <w:tcPr>
            <w:tcW w:w="1446" w:type="pct"/>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8819E69">
            <w:pPr>
              <w:rPr>
                <w:sz w:val="20"/>
                <w:szCs w:val="20"/>
              </w:rPr>
            </w:pPr>
            <w:r>
              <w:rPr>
                <w:rFonts w:hint="eastAsia" w:ascii="仿宋_GB2312" w:eastAsia="仿宋_GB2312"/>
                <w:sz w:val="20"/>
                <w:szCs w:val="20"/>
              </w:rPr>
              <w:t>《高等学校信息公开办法》（教育部令第</w:t>
            </w:r>
            <w:r>
              <w:rPr>
                <w:sz w:val="20"/>
                <w:szCs w:val="20"/>
              </w:rPr>
              <w:t>29</w:t>
            </w:r>
            <w:r>
              <w:rPr>
                <w:rFonts w:hint="eastAsia" w:ascii="仿宋_GB2312" w:eastAsia="仿宋_GB2312"/>
                <w:sz w:val="20"/>
                <w:szCs w:val="20"/>
              </w:rPr>
              <w:t>号）</w:t>
            </w:r>
          </w:p>
        </w:tc>
        <w:tc>
          <w:tcPr>
            <w:tcW w:w="558" w:type="pct"/>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FA712FC">
            <w:pPr>
              <w:jc w:val="center"/>
              <w:rPr>
                <w:rFonts w:ascii="宋体" w:hAnsi="宋体" w:cs="宋体"/>
                <w:sz w:val="20"/>
                <w:szCs w:val="20"/>
              </w:rPr>
            </w:pPr>
            <w:r>
              <w:rPr>
                <w:rFonts w:hint="eastAsia"/>
                <w:sz w:val="20"/>
                <w:szCs w:val="20"/>
              </w:rPr>
              <w:t>安全工作处</w:t>
            </w:r>
          </w:p>
        </w:tc>
        <w:tc>
          <w:tcPr>
            <w:tcW w:w="699" w:type="pct"/>
            <w:tcBorders>
              <w:top w:val="single" w:color="auto" w:sz="4" w:space="0"/>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7903C84">
            <w:pPr>
              <w:jc w:val="center"/>
              <w:rPr>
                <w:sz w:val="20"/>
                <w:szCs w:val="20"/>
              </w:rPr>
            </w:pPr>
            <w:r>
              <w:rPr>
                <w:rFonts w:hint="eastAsia"/>
                <w:sz w:val="20"/>
                <w:szCs w:val="20"/>
                <w:lang w:eastAsia="zh-CN"/>
              </w:rPr>
              <w:t>唐山工业职业技术大学</w:t>
            </w:r>
            <w:r>
              <w:rPr>
                <w:rFonts w:hint="eastAsia"/>
                <w:sz w:val="20"/>
                <w:szCs w:val="20"/>
              </w:rPr>
              <w:t>安全</w:t>
            </w:r>
            <w:r>
              <w:rPr>
                <w:sz w:val="20"/>
                <w:szCs w:val="20"/>
              </w:rPr>
              <w:t>工作处http://bwc.tsgzy.edu.cn/</w:t>
            </w:r>
          </w:p>
        </w:tc>
        <w:tc>
          <w:tcPr>
            <w:tcW w:w="321" w:type="pct"/>
            <w:vMerge w:val="continue"/>
            <w:tcBorders>
              <w:top w:val="nil"/>
              <w:left w:val="single" w:color="auto" w:sz="4" w:space="0"/>
              <w:bottom w:val="single" w:color="auto" w:sz="4" w:space="0"/>
              <w:right w:val="single" w:color="auto" w:sz="4" w:space="0"/>
            </w:tcBorders>
            <w:vAlign w:val="center"/>
          </w:tcPr>
          <w:p w14:paraId="036E6E3F">
            <w:pPr>
              <w:rPr>
                <w:sz w:val="24"/>
              </w:rPr>
            </w:pPr>
          </w:p>
        </w:tc>
      </w:tr>
    </w:tbl>
    <w:p w14:paraId="05B31B9C">
      <w:pPr>
        <w:widowControl/>
        <w:spacing w:line="480" w:lineRule="exact"/>
        <w:jc w:val="left"/>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 </w:t>
      </w:r>
    </w:p>
    <w:sectPr>
      <w:footerReference r:id="rId3" w:type="default"/>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B9D2">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13</w:t>
    </w:r>
    <w:r>
      <w:rPr>
        <w:rStyle w:val="8"/>
      </w:rPr>
      <w:fldChar w:fldCharType="end"/>
    </w:r>
  </w:p>
  <w:p w14:paraId="265A85A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yMTVmMTgxOGRiYzZhM2QzOTZmMjIxNDI1MjY1MjUifQ=="/>
  </w:docVars>
  <w:rsids>
    <w:rsidRoot w:val="00286E25"/>
    <w:rsid w:val="000106B8"/>
    <w:rsid w:val="00012C86"/>
    <w:rsid w:val="00020E5E"/>
    <w:rsid w:val="0002155D"/>
    <w:rsid w:val="00025260"/>
    <w:rsid w:val="0002560E"/>
    <w:rsid w:val="0003185E"/>
    <w:rsid w:val="00040A17"/>
    <w:rsid w:val="00051D15"/>
    <w:rsid w:val="00052216"/>
    <w:rsid w:val="00055F54"/>
    <w:rsid w:val="000603CC"/>
    <w:rsid w:val="0006254F"/>
    <w:rsid w:val="00065C09"/>
    <w:rsid w:val="00074EFA"/>
    <w:rsid w:val="00076362"/>
    <w:rsid w:val="00077252"/>
    <w:rsid w:val="0008442D"/>
    <w:rsid w:val="000B01E4"/>
    <w:rsid w:val="000B356F"/>
    <w:rsid w:val="000B7147"/>
    <w:rsid w:val="000C043A"/>
    <w:rsid w:val="000D5973"/>
    <w:rsid w:val="000E0F23"/>
    <w:rsid w:val="000E74AD"/>
    <w:rsid w:val="001048C0"/>
    <w:rsid w:val="00105A14"/>
    <w:rsid w:val="00142BB6"/>
    <w:rsid w:val="00144F28"/>
    <w:rsid w:val="00146DDD"/>
    <w:rsid w:val="00152B5D"/>
    <w:rsid w:val="001553FD"/>
    <w:rsid w:val="00156BF9"/>
    <w:rsid w:val="00190214"/>
    <w:rsid w:val="00193983"/>
    <w:rsid w:val="001A4771"/>
    <w:rsid w:val="001B69D1"/>
    <w:rsid w:val="001E2711"/>
    <w:rsid w:val="001F7F00"/>
    <w:rsid w:val="002069E6"/>
    <w:rsid w:val="002139C3"/>
    <w:rsid w:val="00233ACB"/>
    <w:rsid w:val="00252B00"/>
    <w:rsid w:val="002558F5"/>
    <w:rsid w:val="00257EB6"/>
    <w:rsid w:val="00270106"/>
    <w:rsid w:val="00270614"/>
    <w:rsid w:val="0027261A"/>
    <w:rsid w:val="00272E37"/>
    <w:rsid w:val="00272FF0"/>
    <w:rsid w:val="0027776A"/>
    <w:rsid w:val="00280A25"/>
    <w:rsid w:val="00285235"/>
    <w:rsid w:val="00286E25"/>
    <w:rsid w:val="002B2C16"/>
    <w:rsid w:val="002C3058"/>
    <w:rsid w:val="002C5942"/>
    <w:rsid w:val="002C5D8F"/>
    <w:rsid w:val="002E1F7B"/>
    <w:rsid w:val="002F2384"/>
    <w:rsid w:val="002F4E48"/>
    <w:rsid w:val="0031495F"/>
    <w:rsid w:val="00343933"/>
    <w:rsid w:val="00350742"/>
    <w:rsid w:val="0035476E"/>
    <w:rsid w:val="003831E5"/>
    <w:rsid w:val="00392588"/>
    <w:rsid w:val="00394A32"/>
    <w:rsid w:val="00394DF8"/>
    <w:rsid w:val="003A2802"/>
    <w:rsid w:val="003B6C36"/>
    <w:rsid w:val="003C5A62"/>
    <w:rsid w:val="003D0D49"/>
    <w:rsid w:val="003F186B"/>
    <w:rsid w:val="003F2354"/>
    <w:rsid w:val="003F58CD"/>
    <w:rsid w:val="00400F83"/>
    <w:rsid w:val="00414BE5"/>
    <w:rsid w:val="00424AC8"/>
    <w:rsid w:val="00426AF5"/>
    <w:rsid w:val="00436B75"/>
    <w:rsid w:val="0046254F"/>
    <w:rsid w:val="00464510"/>
    <w:rsid w:val="00470628"/>
    <w:rsid w:val="00474271"/>
    <w:rsid w:val="00474FF8"/>
    <w:rsid w:val="00480784"/>
    <w:rsid w:val="00490408"/>
    <w:rsid w:val="004A3E14"/>
    <w:rsid w:val="004B39BA"/>
    <w:rsid w:val="004C21EF"/>
    <w:rsid w:val="004D1610"/>
    <w:rsid w:val="004D2E58"/>
    <w:rsid w:val="004E7974"/>
    <w:rsid w:val="00500F5C"/>
    <w:rsid w:val="00500FCD"/>
    <w:rsid w:val="00501BF2"/>
    <w:rsid w:val="005118CD"/>
    <w:rsid w:val="005119F5"/>
    <w:rsid w:val="00520562"/>
    <w:rsid w:val="0052294A"/>
    <w:rsid w:val="00541924"/>
    <w:rsid w:val="005542F5"/>
    <w:rsid w:val="0057304D"/>
    <w:rsid w:val="0058140A"/>
    <w:rsid w:val="0058764F"/>
    <w:rsid w:val="00587DC0"/>
    <w:rsid w:val="00595B45"/>
    <w:rsid w:val="005A4C07"/>
    <w:rsid w:val="005A71D1"/>
    <w:rsid w:val="005D1F4B"/>
    <w:rsid w:val="00613475"/>
    <w:rsid w:val="0062458B"/>
    <w:rsid w:val="00632829"/>
    <w:rsid w:val="00641BB1"/>
    <w:rsid w:val="00645D9A"/>
    <w:rsid w:val="00662848"/>
    <w:rsid w:val="00687D55"/>
    <w:rsid w:val="00692A5A"/>
    <w:rsid w:val="006C492E"/>
    <w:rsid w:val="006D62B3"/>
    <w:rsid w:val="006E3B36"/>
    <w:rsid w:val="00701F28"/>
    <w:rsid w:val="00705EAA"/>
    <w:rsid w:val="00707870"/>
    <w:rsid w:val="0071064D"/>
    <w:rsid w:val="007264A8"/>
    <w:rsid w:val="007346E5"/>
    <w:rsid w:val="007472A7"/>
    <w:rsid w:val="0076400A"/>
    <w:rsid w:val="0077505F"/>
    <w:rsid w:val="0078149D"/>
    <w:rsid w:val="007A16D5"/>
    <w:rsid w:val="007C43C2"/>
    <w:rsid w:val="007D4CC7"/>
    <w:rsid w:val="007E3388"/>
    <w:rsid w:val="007E5294"/>
    <w:rsid w:val="008012B5"/>
    <w:rsid w:val="00801E02"/>
    <w:rsid w:val="00807AD0"/>
    <w:rsid w:val="00815280"/>
    <w:rsid w:val="00833BEA"/>
    <w:rsid w:val="008340D6"/>
    <w:rsid w:val="00843788"/>
    <w:rsid w:val="008511BD"/>
    <w:rsid w:val="00857F2E"/>
    <w:rsid w:val="0086264E"/>
    <w:rsid w:val="0087195E"/>
    <w:rsid w:val="0087290F"/>
    <w:rsid w:val="00875482"/>
    <w:rsid w:val="008A6AC0"/>
    <w:rsid w:val="008B11CB"/>
    <w:rsid w:val="008C137A"/>
    <w:rsid w:val="008C414D"/>
    <w:rsid w:val="008C6DA8"/>
    <w:rsid w:val="008D2AF4"/>
    <w:rsid w:val="008E20F5"/>
    <w:rsid w:val="008E32E1"/>
    <w:rsid w:val="008F2D5A"/>
    <w:rsid w:val="00905FD1"/>
    <w:rsid w:val="00917924"/>
    <w:rsid w:val="00924171"/>
    <w:rsid w:val="0093250F"/>
    <w:rsid w:val="009475ED"/>
    <w:rsid w:val="009534A8"/>
    <w:rsid w:val="00954074"/>
    <w:rsid w:val="00956BE1"/>
    <w:rsid w:val="00973B2E"/>
    <w:rsid w:val="00983C98"/>
    <w:rsid w:val="00986BD8"/>
    <w:rsid w:val="00994F65"/>
    <w:rsid w:val="009A21C7"/>
    <w:rsid w:val="009B3A02"/>
    <w:rsid w:val="009B55A3"/>
    <w:rsid w:val="009C2068"/>
    <w:rsid w:val="009D115F"/>
    <w:rsid w:val="009E191E"/>
    <w:rsid w:val="009E3539"/>
    <w:rsid w:val="009F242B"/>
    <w:rsid w:val="00A051A1"/>
    <w:rsid w:val="00A051E3"/>
    <w:rsid w:val="00A117F9"/>
    <w:rsid w:val="00A175D8"/>
    <w:rsid w:val="00A21297"/>
    <w:rsid w:val="00A257CF"/>
    <w:rsid w:val="00A32644"/>
    <w:rsid w:val="00A34B31"/>
    <w:rsid w:val="00A44A89"/>
    <w:rsid w:val="00A77E33"/>
    <w:rsid w:val="00A8050F"/>
    <w:rsid w:val="00A86733"/>
    <w:rsid w:val="00A8778E"/>
    <w:rsid w:val="00A87FF2"/>
    <w:rsid w:val="00A94032"/>
    <w:rsid w:val="00A942C4"/>
    <w:rsid w:val="00AA2DEC"/>
    <w:rsid w:val="00AA66AD"/>
    <w:rsid w:val="00AB400B"/>
    <w:rsid w:val="00AB448E"/>
    <w:rsid w:val="00AC1178"/>
    <w:rsid w:val="00AD3841"/>
    <w:rsid w:val="00AF73A7"/>
    <w:rsid w:val="00B01133"/>
    <w:rsid w:val="00B03C71"/>
    <w:rsid w:val="00B11640"/>
    <w:rsid w:val="00B13B5A"/>
    <w:rsid w:val="00B13CA2"/>
    <w:rsid w:val="00B15A92"/>
    <w:rsid w:val="00B51E8F"/>
    <w:rsid w:val="00B541AC"/>
    <w:rsid w:val="00B9271B"/>
    <w:rsid w:val="00BA1C74"/>
    <w:rsid w:val="00BA4D26"/>
    <w:rsid w:val="00BA6A31"/>
    <w:rsid w:val="00BB235A"/>
    <w:rsid w:val="00BB5C25"/>
    <w:rsid w:val="00BE3368"/>
    <w:rsid w:val="00BE3AEB"/>
    <w:rsid w:val="00BF4866"/>
    <w:rsid w:val="00C14FFB"/>
    <w:rsid w:val="00C15767"/>
    <w:rsid w:val="00C32A1A"/>
    <w:rsid w:val="00C336E9"/>
    <w:rsid w:val="00C37C5E"/>
    <w:rsid w:val="00C43CDB"/>
    <w:rsid w:val="00C47CA0"/>
    <w:rsid w:val="00C57000"/>
    <w:rsid w:val="00C7207C"/>
    <w:rsid w:val="00C72824"/>
    <w:rsid w:val="00C7398C"/>
    <w:rsid w:val="00C75F33"/>
    <w:rsid w:val="00CA6100"/>
    <w:rsid w:val="00CA7595"/>
    <w:rsid w:val="00CB3482"/>
    <w:rsid w:val="00CB5009"/>
    <w:rsid w:val="00CC3F1C"/>
    <w:rsid w:val="00CE0FE4"/>
    <w:rsid w:val="00CE47F8"/>
    <w:rsid w:val="00CF64AE"/>
    <w:rsid w:val="00CF686A"/>
    <w:rsid w:val="00D03CED"/>
    <w:rsid w:val="00D03D38"/>
    <w:rsid w:val="00D169AF"/>
    <w:rsid w:val="00D202D2"/>
    <w:rsid w:val="00D25ADC"/>
    <w:rsid w:val="00D4373F"/>
    <w:rsid w:val="00D4773A"/>
    <w:rsid w:val="00D5353A"/>
    <w:rsid w:val="00D53E77"/>
    <w:rsid w:val="00D63141"/>
    <w:rsid w:val="00D64E13"/>
    <w:rsid w:val="00D65E83"/>
    <w:rsid w:val="00D671AB"/>
    <w:rsid w:val="00D67473"/>
    <w:rsid w:val="00D7205C"/>
    <w:rsid w:val="00D7591C"/>
    <w:rsid w:val="00D866AB"/>
    <w:rsid w:val="00D86E43"/>
    <w:rsid w:val="00DA75D9"/>
    <w:rsid w:val="00DB4668"/>
    <w:rsid w:val="00DB5284"/>
    <w:rsid w:val="00DB72F9"/>
    <w:rsid w:val="00DC006A"/>
    <w:rsid w:val="00DC253B"/>
    <w:rsid w:val="00DC6BFE"/>
    <w:rsid w:val="00DC795B"/>
    <w:rsid w:val="00DC7B20"/>
    <w:rsid w:val="00DD54B3"/>
    <w:rsid w:val="00DF3AD9"/>
    <w:rsid w:val="00E04503"/>
    <w:rsid w:val="00E07A81"/>
    <w:rsid w:val="00E3432A"/>
    <w:rsid w:val="00E41E38"/>
    <w:rsid w:val="00E5107E"/>
    <w:rsid w:val="00E54F89"/>
    <w:rsid w:val="00E6270C"/>
    <w:rsid w:val="00E638D5"/>
    <w:rsid w:val="00E6391E"/>
    <w:rsid w:val="00E6521A"/>
    <w:rsid w:val="00E863D5"/>
    <w:rsid w:val="00E9144E"/>
    <w:rsid w:val="00E95DC9"/>
    <w:rsid w:val="00EA3559"/>
    <w:rsid w:val="00EB00A0"/>
    <w:rsid w:val="00EC0AE8"/>
    <w:rsid w:val="00ED5908"/>
    <w:rsid w:val="00EE4C85"/>
    <w:rsid w:val="00EF608F"/>
    <w:rsid w:val="00EF6ED7"/>
    <w:rsid w:val="00F02437"/>
    <w:rsid w:val="00F02CE9"/>
    <w:rsid w:val="00F03EF0"/>
    <w:rsid w:val="00F10A15"/>
    <w:rsid w:val="00F2450B"/>
    <w:rsid w:val="00F25708"/>
    <w:rsid w:val="00F257C5"/>
    <w:rsid w:val="00F25959"/>
    <w:rsid w:val="00F31A59"/>
    <w:rsid w:val="00F62625"/>
    <w:rsid w:val="00F64C5D"/>
    <w:rsid w:val="00F75F8B"/>
    <w:rsid w:val="00F86EF1"/>
    <w:rsid w:val="00F9621B"/>
    <w:rsid w:val="00FA0486"/>
    <w:rsid w:val="00FA0A1E"/>
    <w:rsid w:val="00FA7B27"/>
    <w:rsid w:val="00FC107B"/>
    <w:rsid w:val="00FC58FD"/>
    <w:rsid w:val="00FD3934"/>
    <w:rsid w:val="00FE1F7B"/>
    <w:rsid w:val="00FF0EC8"/>
    <w:rsid w:val="054D54E0"/>
    <w:rsid w:val="090D4EDE"/>
    <w:rsid w:val="091C32AD"/>
    <w:rsid w:val="112E1DCF"/>
    <w:rsid w:val="38D32489"/>
    <w:rsid w:val="597A1C32"/>
    <w:rsid w:val="6E27541D"/>
    <w:rsid w:val="7E5238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iPriority="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qFormat/>
    <w:uiPriority w:val="0"/>
    <w:pPr>
      <w:ind w:left="100" w:leftChars="2500"/>
    </w:pPr>
  </w:style>
  <w:style w:type="paragraph" w:styleId="3">
    <w:name w:val="Balloon Text"/>
    <w:basedOn w:val="1"/>
    <w:link w:val="12"/>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ifenglogo"/>
    <w:basedOn w:val="7"/>
    <w:qFormat/>
    <w:uiPriority w:val="0"/>
  </w:style>
  <w:style w:type="character" w:customStyle="1" w:styleId="10">
    <w:name w:val="页眉 字符"/>
    <w:link w:val="5"/>
    <w:qFormat/>
    <w:uiPriority w:val="0"/>
    <w:rPr>
      <w:kern w:val="2"/>
      <w:sz w:val="18"/>
      <w:szCs w:val="18"/>
    </w:rPr>
  </w:style>
  <w:style w:type="character" w:customStyle="1" w:styleId="11">
    <w:name w:val="日期 字符"/>
    <w:link w:val="2"/>
    <w:qFormat/>
    <w:uiPriority w:val="0"/>
    <w:rPr>
      <w:kern w:val="2"/>
      <w:sz w:val="21"/>
      <w:szCs w:val="24"/>
    </w:rPr>
  </w:style>
  <w:style w:type="character" w:customStyle="1" w:styleId="12">
    <w:name w:val="批注框文本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4C3EB0-AA8C-484B-8F18-DD4C51AA0537}">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5</Pages>
  <Words>689</Words>
  <Characters>961</Characters>
  <Lines>34</Lines>
  <Paragraphs>9</Paragraphs>
  <TotalTime>53</TotalTime>
  <ScaleCrop>false</ScaleCrop>
  <LinksUpToDate>false</LinksUpToDate>
  <CharactersWithSpaces>1154</CharactersWithSpaces>
  <Application>WPS Office_12.1.0.23122_F1E327BC-269C-435d-A152-05C5408002CA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2019-11-12T03:34:00Z</dcterms:created>
  <dc:creator>雨林木风</dc:creator>
  <cp:lastModifiedBy>邵威</cp:lastModifiedBy>
  <cp:lastPrinted>2018-12-06T07:21:00Z</cp:lastPrinted>
  <dcterms:modified xsi:type="dcterms:W3CDTF">2025-10-28T02:29:15Z</dcterms:modified>
  <dc:title>本报告按照《高等学校信息公开办法》（教育部令第29号，以下简称《办法》）和教育部办公厅《关于做好2011</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2052-12.1.0.23122</vt:lpwstr>
  </property>
  <property fmtid="{D5CDD505-2E9C-101B-9397-08002B2CF9AE}" pid="3" name="ICV">
    <vt:lpwstr>D993B77A20564E87B45048118F3B87C6_13</vt:lpwstr>
  </property>
  <property fmtid="{D5CDD505-2E9C-101B-9397-08002B2CF9AE}" pid="4" name="KSOTemplateDocerSaveRecord">
    <vt:lpwstr>eyJoZGlkIjoiYzIzOTcyNjI0YzQ2ODRlODRiMWExMjgxZmRhMmY4NjIiLCJ1c2VySWQiOiIxNjUwMjM1ODQyIn0=</vt:lpwstr>
  </property>
</Properties>
</file>